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CC5" w:rsidRPr="00104D41" w:rsidRDefault="00F32CC5" w:rsidP="00F32CC5">
      <w:pPr>
        <w:pStyle w:val="Heading1"/>
        <w:rPr>
          <w:sz w:val="24"/>
          <w:szCs w:val="24"/>
        </w:rPr>
      </w:pPr>
      <w:r w:rsidRPr="00104D41">
        <w:rPr>
          <w:sz w:val="24"/>
          <w:szCs w:val="24"/>
        </w:rPr>
        <w:t>PART 43 – CONTRACT MODIFICATIONS</w:t>
      </w:r>
    </w:p>
    <w:p w:rsidR="00F32CC5" w:rsidRPr="00CD6247" w:rsidRDefault="00F32CC5" w:rsidP="00F32CC5">
      <w:pPr>
        <w:spacing w:after="240"/>
        <w:jc w:val="center"/>
        <w:rPr>
          <w:i/>
          <w:sz w:val="24"/>
          <w:szCs w:val="24"/>
        </w:rPr>
      </w:pPr>
      <w:r w:rsidRPr="00104D41">
        <w:rPr>
          <w:i/>
          <w:sz w:val="24"/>
          <w:szCs w:val="24"/>
        </w:rPr>
        <w:t>(Revised August 10, 2018 through PROCLTR 2018-16)</w:t>
      </w:r>
    </w:p>
    <w:p w:rsidR="00F32CC5" w:rsidRPr="00CD6247" w:rsidRDefault="00F32CC5" w:rsidP="00F32CC5">
      <w:pPr>
        <w:jc w:val="center"/>
        <w:rPr>
          <w:b/>
          <w:sz w:val="24"/>
          <w:szCs w:val="24"/>
        </w:rPr>
      </w:pPr>
      <w:r w:rsidRPr="00CD6247">
        <w:rPr>
          <w:b/>
          <w:sz w:val="24"/>
          <w:szCs w:val="24"/>
        </w:rPr>
        <w:t>TABLE OF CONTENTS</w:t>
      </w:r>
    </w:p>
    <w:p w:rsidR="00F32CC5" w:rsidRPr="00CD6247" w:rsidRDefault="00F32CC5" w:rsidP="00F32CC5">
      <w:pPr>
        <w:rPr>
          <w:b/>
          <w:sz w:val="24"/>
          <w:szCs w:val="24"/>
        </w:rPr>
      </w:pPr>
      <w:r w:rsidRPr="00CD6247">
        <w:rPr>
          <w:b/>
          <w:sz w:val="24"/>
          <w:szCs w:val="24"/>
        </w:rPr>
        <w:t>SUBPART 43.1 – GENERAL</w:t>
      </w:r>
    </w:p>
    <w:p w:rsidR="00F32CC5" w:rsidRPr="00CD6247" w:rsidRDefault="00F32CC5" w:rsidP="00F32CC5">
      <w:pPr>
        <w:rPr>
          <w:sz w:val="24"/>
          <w:szCs w:val="24"/>
        </w:rPr>
      </w:pPr>
      <w:hyperlink r:id="rId11" w:anchor="P43_102" w:history="1">
        <w:r w:rsidRPr="00CD6247">
          <w:rPr>
            <w:rStyle w:val="Hyperlink"/>
            <w:sz w:val="24"/>
            <w:szCs w:val="24"/>
          </w:rPr>
          <w:t>43.102</w:t>
        </w:r>
      </w:hyperlink>
      <w:r w:rsidRPr="009912A0">
        <w:rPr>
          <w:rStyle w:val="Hyperlink"/>
          <w:sz w:val="24"/>
          <w:szCs w:val="24"/>
          <w:u w:val="none"/>
        </w:rPr>
        <w:tab/>
      </w:r>
      <w:r w:rsidRPr="009912A0">
        <w:rPr>
          <w:rStyle w:val="Hyperlink"/>
          <w:sz w:val="24"/>
          <w:szCs w:val="24"/>
          <w:u w:val="none"/>
        </w:rPr>
        <w:tab/>
      </w:r>
      <w:r w:rsidRPr="00CD6247">
        <w:rPr>
          <w:sz w:val="24"/>
          <w:szCs w:val="24"/>
        </w:rPr>
        <w:t>Policy.</w:t>
      </w:r>
    </w:p>
    <w:p w:rsidR="00F32CC5" w:rsidRPr="00CD6247" w:rsidRDefault="00F32CC5" w:rsidP="00F32CC5">
      <w:pPr>
        <w:spacing w:after="240"/>
        <w:rPr>
          <w:sz w:val="24"/>
          <w:szCs w:val="24"/>
        </w:rPr>
      </w:pPr>
      <w:hyperlink r:id="rId12" w:anchor="P43_103" w:history="1">
        <w:r w:rsidRPr="00CD6247">
          <w:rPr>
            <w:rStyle w:val="Hyperlink"/>
            <w:sz w:val="24"/>
            <w:szCs w:val="24"/>
          </w:rPr>
          <w:t>43.103</w:t>
        </w:r>
      </w:hyperlink>
      <w:r w:rsidRPr="009912A0">
        <w:rPr>
          <w:rStyle w:val="Hyperlink"/>
          <w:sz w:val="24"/>
          <w:szCs w:val="24"/>
          <w:u w:val="none"/>
        </w:rPr>
        <w:tab/>
      </w:r>
      <w:r w:rsidRPr="009912A0">
        <w:rPr>
          <w:rStyle w:val="Hyperlink"/>
          <w:sz w:val="24"/>
          <w:szCs w:val="24"/>
          <w:u w:val="none"/>
        </w:rPr>
        <w:tab/>
      </w:r>
      <w:r w:rsidRPr="00CD6247">
        <w:rPr>
          <w:sz w:val="24"/>
          <w:szCs w:val="24"/>
        </w:rPr>
        <w:t>Types of contract modifications.</w:t>
      </w:r>
    </w:p>
    <w:p w:rsidR="00F32CC5" w:rsidRPr="00CD6247" w:rsidRDefault="00F32CC5" w:rsidP="00F32CC5">
      <w:pPr>
        <w:pStyle w:val="Heading2"/>
      </w:pPr>
      <w:r w:rsidRPr="00CD6247">
        <w:t>SUBPART 43.1 – GENERAL</w:t>
      </w:r>
    </w:p>
    <w:p w:rsidR="00F32CC5" w:rsidRPr="00CD6247" w:rsidRDefault="00F32CC5" w:rsidP="00F32CC5">
      <w:pPr>
        <w:spacing w:after="240"/>
        <w:jc w:val="center"/>
        <w:rPr>
          <w:i/>
          <w:sz w:val="24"/>
          <w:szCs w:val="24"/>
        </w:rPr>
      </w:pPr>
      <w:r w:rsidRPr="00CD6247">
        <w:rPr>
          <w:i/>
          <w:sz w:val="24"/>
          <w:szCs w:val="24"/>
        </w:rPr>
        <w:t>(Revised August 10, 2018 through PROCLTR 2018-16)</w:t>
      </w:r>
    </w:p>
    <w:p w:rsidR="00F32CC5" w:rsidRPr="00FB266B" w:rsidRDefault="00F32CC5" w:rsidP="00F32CC5">
      <w:pPr>
        <w:pStyle w:val="Heading3"/>
        <w:rPr>
          <w:sz w:val="24"/>
          <w:szCs w:val="24"/>
        </w:rPr>
      </w:pPr>
      <w:r w:rsidRPr="00FB266B">
        <w:rPr>
          <w:sz w:val="24"/>
          <w:szCs w:val="24"/>
        </w:rPr>
        <w:t>43.102 Policy.</w:t>
      </w:r>
    </w:p>
    <w:p w:rsidR="00F32CC5" w:rsidRPr="00CD6247" w:rsidRDefault="00F32CC5" w:rsidP="00F32CC5">
      <w:pPr>
        <w:pStyle w:val="List1"/>
      </w:pPr>
      <w:bookmarkStart w:id="0" w:name="TofC"/>
      <w:bookmarkStart w:id="1" w:name="P43_103"/>
      <w:r w:rsidRPr="00CD6247">
        <w:rPr>
          <w:color w:val="000000"/>
          <w:szCs w:val="24"/>
        </w:rPr>
        <w:t xml:space="preserve">(b)(S-90) </w:t>
      </w:r>
      <w:r w:rsidRPr="00CD6247">
        <w:rPr>
          <w:i/>
          <w:iCs/>
          <w:color w:val="000000"/>
          <w:szCs w:val="24"/>
        </w:rPr>
        <w:t xml:space="preserve">Administrative cost. </w:t>
      </w:r>
      <w:r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F32CC5" w:rsidRPr="00CD6247" w:rsidRDefault="00F32CC5" w:rsidP="00F32CC5">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F32CC5" w:rsidRPr="00FB266B" w:rsidRDefault="00F32CC5" w:rsidP="00F32CC5">
      <w:pPr>
        <w:pStyle w:val="Heading3"/>
        <w:rPr>
          <w:sz w:val="24"/>
          <w:szCs w:val="24"/>
        </w:rPr>
      </w:pPr>
      <w:r w:rsidRPr="00FB266B">
        <w:rPr>
          <w:sz w:val="24"/>
          <w:szCs w:val="24"/>
        </w:rPr>
        <w:t xml:space="preserve">43.103 </w:t>
      </w:r>
      <w:bookmarkEnd w:id="0"/>
      <w:bookmarkEnd w:id="1"/>
      <w:r w:rsidRPr="00FB266B">
        <w:rPr>
          <w:sz w:val="24"/>
          <w:szCs w:val="24"/>
        </w:rPr>
        <w:t>Types of contract modifications.</w:t>
      </w:r>
    </w:p>
    <w:p w:rsidR="00F32CC5" w:rsidRPr="00CD6247" w:rsidRDefault="00F32CC5" w:rsidP="00F32CC5">
      <w:pPr>
        <w:pStyle w:val="List1"/>
      </w:pPr>
      <w:r w:rsidRPr="00CD6247">
        <w:rPr>
          <w:szCs w:val="24"/>
        </w:rPr>
        <w:t>(b) Unilateral.</w:t>
      </w:r>
      <w:bookmarkStart w:id="2" w:name="P43_103_b_S90"/>
    </w:p>
    <w:p w:rsidR="00F32CC5" w:rsidRPr="00CD6247" w:rsidRDefault="00F32CC5" w:rsidP="00F32CC5">
      <w:pPr>
        <w:pStyle w:val="List2"/>
      </w:pPr>
      <w:r w:rsidRPr="00CD6247">
        <w:rPr>
          <w:sz w:val="24"/>
          <w:szCs w:val="24"/>
        </w:rPr>
        <w:t>(S-90)</w:t>
      </w:r>
      <w:bookmarkEnd w:id="2"/>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rsidR="00F32CC5" w:rsidRPr="00CD6247" w:rsidRDefault="00F32CC5" w:rsidP="00F32CC5">
      <w:pPr>
        <w:jc w:val="center"/>
        <w:rPr>
          <w:sz w:val="24"/>
          <w:szCs w:val="24"/>
        </w:rPr>
        <w:sectPr w:rsidR="00F32CC5" w:rsidRPr="00CD6247" w:rsidSect="00C92932">
          <w:headerReference w:type="even" r:id="rId13"/>
          <w:headerReference w:type="default" r:id="rId14"/>
          <w:footerReference w:type="even" r:id="rId15"/>
          <w:headerReference w:type="first" r:id="rId16"/>
          <w:footerReference w:type="first" r:id="rId17"/>
          <w:pgSz w:w="12240" w:h="15840"/>
          <w:pgMar w:top="1440" w:right="1440" w:bottom="1440" w:left="1440" w:header="720" w:footer="720" w:gutter="0"/>
          <w:cols w:space="720"/>
          <w:titlePg/>
          <w:docGrid w:linePitch="299"/>
        </w:sectPr>
      </w:pPr>
    </w:p>
    <w:p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3" w:name="Part43"/>
      <w:bookmarkStart w:id="4" w:name="Part45"/>
      <w:bookmarkEnd w:id="3"/>
      <w:bookmarkEnd w:id="4"/>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CC5" w:rsidRDefault="00F32CC5" w:rsidP="00926910">
      <w:r>
        <w:separator/>
      </w:r>
    </w:p>
    <w:p w:rsidR="00F32CC5" w:rsidRDefault="00F32CC5"/>
    <w:p w:rsidR="00F32CC5" w:rsidRDefault="00F32CC5"/>
  </w:endnote>
  <w:endnote w:type="continuationSeparator" w:id="0">
    <w:p w:rsidR="00F32CC5" w:rsidRDefault="00F32CC5" w:rsidP="00926910">
      <w:r>
        <w:continuationSeparator/>
      </w:r>
    </w:p>
    <w:p w:rsidR="00F32CC5" w:rsidRDefault="00F32CC5"/>
    <w:p w:rsidR="00F32CC5" w:rsidRDefault="00F32CC5"/>
  </w:endnote>
  <w:endnote w:type="continuationNotice" w:id="1">
    <w:p w:rsidR="00F32CC5" w:rsidRDefault="00F32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CC5" w:rsidRPr="00C76146" w:rsidRDefault="00F32CC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CC5" w:rsidRPr="00CC3CA1" w:rsidRDefault="00F32CC5">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CC5" w:rsidRDefault="00F32CC5" w:rsidP="00926910">
      <w:r>
        <w:separator/>
      </w:r>
    </w:p>
    <w:p w:rsidR="00F32CC5" w:rsidRDefault="00F32CC5"/>
    <w:p w:rsidR="00F32CC5" w:rsidRDefault="00F32CC5"/>
  </w:footnote>
  <w:footnote w:type="continuationSeparator" w:id="0">
    <w:p w:rsidR="00F32CC5" w:rsidRDefault="00F32CC5" w:rsidP="00926910">
      <w:r>
        <w:continuationSeparator/>
      </w:r>
    </w:p>
    <w:p w:rsidR="00F32CC5" w:rsidRDefault="00F32CC5"/>
    <w:p w:rsidR="00F32CC5" w:rsidRDefault="00F32CC5"/>
  </w:footnote>
  <w:footnote w:type="continuationNotice" w:id="1">
    <w:p w:rsidR="00F32CC5" w:rsidRDefault="00F32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CC5" w:rsidRPr="00CE4C38" w:rsidRDefault="00F32CC5" w:rsidP="000216BD">
    <w:pPr>
      <w:pStyle w:val="Header"/>
      <w:spacing w:after="240"/>
      <w:jc w:val="center"/>
      <w:rPr>
        <w:b/>
        <w:sz w:val="24"/>
        <w:szCs w:val="24"/>
      </w:rPr>
    </w:pPr>
    <w:r w:rsidRPr="00CE4C38">
      <w:rPr>
        <w:b/>
        <w:sz w:val="24"/>
        <w:szCs w:val="24"/>
      </w:rPr>
      <w:t>DEFENSE LOGISTICS ACQUISITION DIRECTIVE</w:t>
    </w:r>
  </w:p>
  <w:p w:rsidR="00F32CC5" w:rsidRPr="00FD2496" w:rsidRDefault="00F32CC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CC5" w:rsidRPr="00CE4C38" w:rsidRDefault="00F32CC5" w:rsidP="00705104">
    <w:pPr>
      <w:pStyle w:val="Header"/>
      <w:spacing w:after="240"/>
      <w:jc w:val="center"/>
      <w:rPr>
        <w:b/>
        <w:sz w:val="24"/>
        <w:szCs w:val="24"/>
      </w:rPr>
    </w:pPr>
    <w:r w:rsidRPr="00CE4C38">
      <w:rPr>
        <w:b/>
        <w:sz w:val="24"/>
        <w:szCs w:val="24"/>
      </w:rPr>
      <w:t>DEFENSE LOGISTICS ACQUISITION DIRECTIVE</w:t>
    </w:r>
  </w:p>
  <w:p w:rsidR="00F32CC5" w:rsidRPr="00CE4C38" w:rsidRDefault="00F32CC5"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CC5" w:rsidRPr="0062445A" w:rsidRDefault="00F32CC5" w:rsidP="000216BD">
    <w:pPr>
      <w:pStyle w:val="Header"/>
      <w:spacing w:after="240"/>
      <w:jc w:val="center"/>
      <w:rPr>
        <w:b/>
        <w:sz w:val="24"/>
        <w:szCs w:val="24"/>
      </w:rPr>
    </w:pPr>
    <w:r w:rsidRPr="0062445A">
      <w:rPr>
        <w:b/>
        <w:sz w:val="24"/>
        <w:szCs w:val="24"/>
      </w:rPr>
      <w:t>DEFENSE LOGISTICS ACQUISITION DIRECTIVE</w:t>
    </w:r>
  </w:p>
  <w:p w:rsidR="00F32CC5" w:rsidRPr="00456D16" w:rsidRDefault="00F32CC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2CC5"/>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43.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3.docx"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2927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