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714F1" w14:textId="77777777" w:rsidR="00540F2A" w:rsidRPr="00335341" w:rsidRDefault="00540F2A" w:rsidP="00540F2A">
      <w:pPr>
        <w:pStyle w:val="Heading1"/>
        <w:rPr>
          <w:sz w:val="24"/>
          <w:szCs w:val="24"/>
        </w:rPr>
      </w:pPr>
      <w:bookmarkStart w:id="0" w:name="P50"/>
      <w:r w:rsidRPr="00335341">
        <w:rPr>
          <w:sz w:val="24"/>
          <w:szCs w:val="24"/>
        </w:rPr>
        <w:t xml:space="preserve">PART 50 – EXTRAORDINARY CONTRACTUAL ACTIONS </w:t>
      </w:r>
      <w:r w:rsidRPr="00335341">
        <w:rPr>
          <w:bCs/>
          <w:sz w:val="24"/>
          <w:szCs w:val="24"/>
          <w:lang w:val="en"/>
        </w:rPr>
        <w:t>AND THE SAFETY ACT</w:t>
      </w:r>
      <w:commentRangeStart w:id="1"/>
      <w:commentRangeEnd w:id="1"/>
      <w:r w:rsidRPr="00335341">
        <w:rPr>
          <w:rStyle w:val="CommentReference"/>
          <w:sz w:val="24"/>
          <w:szCs w:val="24"/>
        </w:rPr>
        <w:commentReference w:id="1"/>
      </w:r>
    </w:p>
    <w:p w14:paraId="1B8B0C43" w14:textId="77777777" w:rsidR="00540F2A" w:rsidRPr="00CD6247" w:rsidRDefault="00540F2A" w:rsidP="00540F2A">
      <w:pPr>
        <w:spacing w:after="240"/>
        <w:jc w:val="center"/>
        <w:rPr>
          <w:i/>
          <w:sz w:val="24"/>
          <w:szCs w:val="24"/>
        </w:rPr>
      </w:pPr>
      <w:r w:rsidRPr="00CD6247">
        <w:rPr>
          <w:i/>
          <w:sz w:val="24"/>
          <w:szCs w:val="24"/>
        </w:rPr>
        <w:t>(Revised October 24, 2016 through PROCLTR 2016-10)</w:t>
      </w:r>
    </w:p>
    <w:bookmarkEnd w:id="0"/>
    <w:p w14:paraId="40622E59" w14:textId="77777777" w:rsidR="00540F2A" w:rsidRPr="00CD6247" w:rsidRDefault="00540F2A" w:rsidP="00540F2A">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14:paraId="1198D52A" w14:textId="77777777" w:rsidR="00540F2A" w:rsidRPr="00CD6247" w:rsidRDefault="00540F2A" w:rsidP="00540F2A">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14:paraId="2F367504" w14:textId="77777777" w:rsidR="00540F2A" w:rsidRPr="00CD6247" w:rsidRDefault="00540F2A" w:rsidP="00540F2A">
      <w:pPr>
        <w:rPr>
          <w:sz w:val="24"/>
          <w:szCs w:val="24"/>
        </w:rPr>
      </w:pPr>
      <w:hyperlink w:anchor="P50_101" w:history="1">
        <w:r w:rsidRPr="00CD6247">
          <w:rPr>
            <w:rStyle w:val="Hyperlink"/>
            <w:sz w:val="24"/>
            <w:szCs w:val="24"/>
          </w:rPr>
          <w:t>50.101</w:t>
        </w:r>
      </w:hyperlink>
      <w:r w:rsidRPr="00A226E6">
        <w:rPr>
          <w:rStyle w:val="Hyperlink"/>
          <w:sz w:val="24"/>
          <w:szCs w:val="24"/>
          <w:u w:val="none"/>
        </w:rPr>
        <w:tab/>
      </w:r>
      <w:r w:rsidRPr="00A226E6">
        <w:rPr>
          <w:rStyle w:val="Hyperlink"/>
          <w:sz w:val="24"/>
          <w:szCs w:val="24"/>
          <w:u w:val="none"/>
        </w:rPr>
        <w:tab/>
      </w:r>
      <w:r w:rsidRPr="00CD6247">
        <w:rPr>
          <w:sz w:val="24"/>
          <w:szCs w:val="24"/>
        </w:rPr>
        <w:t>General.</w:t>
      </w:r>
    </w:p>
    <w:p w14:paraId="5733DC3D" w14:textId="77777777" w:rsidR="00540F2A" w:rsidRPr="00CD6247" w:rsidRDefault="00540F2A" w:rsidP="00540F2A">
      <w:pPr>
        <w:kinsoku w:val="0"/>
        <w:overflowPunct w:val="0"/>
        <w:adjustRightInd w:val="0"/>
        <w:rPr>
          <w:spacing w:val="-1"/>
          <w:sz w:val="24"/>
          <w:szCs w:val="24"/>
        </w:rPr>
      </w:pPr>
      <w:hyperlink w:anchor="P50_101_3" w:history="1">
        <w:r w:rsidRPr="00CD6247">
          <w:rPr>
            <w:rStyle w:val="Hyperlink"/>
            <w:spacing w:val="-1"/>
            <w:sz w:val="24"/>
            <w:szCs w:val="24"/>
          </w:rPr>
          <w:t>50.101-3</w:t>
        </w:r>
      </w:hyperlink>
      <w:r w:rsidRPr="00A226E6">
        <w:rPr>
          <w:rStyle w:val="Hyperlink"/>
          <w:spacing w:val="-1"/>
          <w:sz w:val="24"/>
          <w:szCs w:val="24"/>
          <w:u w:val="none"/>
        </w:rPr>
        <w:tab/>
      </w:r>
      <w:r w:rsidRPr="00CD6247">
        <w:rPr>
          <w:spacing w:val="-1"/>
          <w:sz w:val="24"/>
          <w:szCs w:val="24"/>
        </w:rPr>
        <w:t>Records</w:t>
      </w:r>
    </w:p>
    <w:p w14:paraId="7B94FC6E" w14:textId="77777777" w:rsidR="00540F2A" w:rsidRPr="00CD6247" w:rsidRDefault="00540F2A" w:rsidP="00540F2A">
      <w:pPr>
        <w:kinsoku w:val="0"/>
        <w:overflowPunct w:val="0"/>
        <w:adjustRightInd w:val="0"/>
        <w:rPr>
          <w:sz w:val="24"/>
          <w:szCs w:val="24"/>
        </w:rPr>
      </w:pPr>
      <w:hyperlink w:anchor="P50_103" w:history="1">
        <w:r w:rsidRPr="00CD6247">
          <w:rPr>
            <w:rStyle w:val="Hyperlink"/>
            <w:sz w:val="24"/>
            <w:szCs w:val="24"/>
          </w:rPr>
          <w:t>50.103</w:t>
        </w:r>
      </w:hyperlink>
      <w:r w:rsidRPr="00A226E6">
        <w:rPr>
          <w:rStyle w:val="Hyperlink"/>
          <w:sz w:val="24"/>
          <w:szCs w:val="24"/>
          <w:u w:val="none"/>
        </w:rPr>
        <w:tab/>
      </w:r>
      <w:r w:rsidRPr="00A226E6">
        <w:rPr>
          <w:rStyle w:val="Hyperlink"/>
          <w:sz w:val="24"/>
          <w:szCs w:val="24"/>
          <w:u w:val="none"/>
        </w:rPr>
        <w:tab/>
      </w:r>
      <w:r w:rsidRPr="00CD6247">
        <w:rPr>
          <w:sz w:val="24"/>
          <w:szCs w:val="24"/>
        </w:rPr>
        <w:t>Contract adjustments.</w:t>
      </w:r>
    </w:p>
    <w:p w14:paraId="1DA4F3DC" w14:textId="77777777" w:rsidR="00540F2A" w:rsidRPr="00CD6247" w:rsidRDefault="00540F2A" w:rsidP="00540F2A">
      <w:pPr>
        <w:pStyle w:val="NoSpacing"/>
        <w:rPr>
          <w:rFonts w:ascii="Times New Roman" w:hAnsi="Times New Roman"/>
          <w:sz w:val="24"/>
          <w:szCs w:val="24"/>
        </w:rPr>
      </w:pPr>
      <w:hyperlink w:anchor="P50_103_5" w:history="1">
        <w:r w:rsidRPr="00CD6247">
          <w:rPr>
            <w:rStyle w:val="Hyperlink"/>
            <w:rFonts w:ascii="Times New Roman" w:hAnsi="Times New Roman"/>
            <w:sz w:val="24"/>
            <w:szCs w:val="24"/>
          </w:rPr>
          <w:t>50.103-5</w:t>
        </w:r>
      </w:hyperlink>
      <w:r w:rsidRPr="00A226E6">
        <w:rPr>
          <w:rStyle w:val="Hyperlink"/>
          <w:rFonts w:ascii="Times New Roman" w:hAnsi="Times New Roman"/>
          <w:sz w:val="24"/>
          <w:szCs w:val="24"/>
          <w:u w:val="none"/>
        </w:rPr>
        <w:tab/>
      </w:r>
      <w:r w:rsidRPr="00CD6247">
        <w:rPr>
          <w:rFonts w:ascii="Times New Roman" w:hAnsi="Times New Roman"/>
          <w:sz w:val="24"/>
          <w:szCs w:val="24"/>
        </w:rPr>
        <w:t>Processing cases.</w:t>
      </w:r>
    </w:p>
    <w:p w14:paraId="5C2C07FA" w14:textId="77777777" w:rsidR="00540F2A" w:rsidRPr="00CD6247" w:rsidRDefault="00540F2A" w:rsidP="00540F2A">
      <w:pPr>
        <w:pStyle w:val="NoSpacing"/>
        <w:spacing w:after="240"/>
        <w:rPr>
          <w:rFonts w:ascii="Times New Roman" w:hAnsi="Times New Roman"/>
          <w:sz w:val="24"/>
          <w:szCs w:val="24"/>
        </w:rPr>
      </w:pPr>
      <w:hyperlink w:anchor="P50_103_6" w:history="1">
        <w:r w:rsidRPr="00CD6247">
          <w:rPr>
            <w:rStyle w:val="Hyperlink"/>
            <w:rFonts w:ascii="Times New Roman" w:hAnsi="Times New Roman"/>
            <w:sz w:val="24"/>
            <w:szCs w:val="24"/>
          </w:rPr>
          <w:t>50.103-6</w:t>
        </w:r>
      </w:hyperlink>
      <w:r w:rsidRPr="00A226E6">
        <w:rPr>
          <w:rStyle w:val="Hyperlink"/>
          <w:rFonts w:ascii="Times New Roman" w:hAnsi="Times New Roman"/>
          <w:sz w:val="24"/>
          <w:szCs w:val="24"/>
          <w:u w:val="none"/>
        </w:rPr>
        <w:tab/>
      </w:r>
      <w:r w:rsidRPr="00CD6247">
        <w:rPr>
          <w:rFonts w:ascii="Times New Roman" w:hAnsi="Times New Roman"/>
          <w:sz w:val="24"/>
          <w:szCs w:val="24"/>
        </w:rPr>
        <w:t>Disposition.</w:t>
      </w:r>
    </w:p>
    <w:p w14:paraId="203ADF7C" w14:textId="77777777" w:rsidR="00540F2A" w:rsidRPr="00CD6247" w:rsidRDefault="00540F2A" w:rsidP="00540F2A">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14:paraId="0D9C4D79" w14:textId="77777777" w:rsidR="00540F2A" w:rsidRPr="00CD6247" w:rsidRDefault="00540F2A" w:rsidP="00540F2A">
      <w:pPr>
        <w:spacing w:after="240"/>
        <w:jc w:val="center"/>
        <w:rPr>
          <w:i/>
          <w:sz w:val="24"/>
          <w:szCs w:val="24"/>
        </w:rPr>
      </w:pPr>
      <w:r w:rsidRPr="00CD6247">
        <w:rPr>
          <w:i/>
          <w:sz w:val="24"/>
          <w:szCs w:val="24"/>
        </w:rPr>
        <w:t>(Revised October 24, 2016 through PROCLTR 2016-10)</w:t>
      </w:r>
    </w:p>
    <w:p w14:paraId="4054E1FD" w14:textId="77777777" w:rsidR="00540F2A" w:rsidRPr="007913C2" w:rsidRDefault="00540F2A" w:rsidP="00540F2A">
      <w:pPr>
        <w:pStyle w:val="Heading3"/>
        <w:spacing w:after="240"/>
        <w:rPr>
          <w:sz w:val="24"/>
          <w:szCs w:val="24"/>
        </w:rPr>
      </w:pPr>
      <w:bookmarkStart w:id="2" w:name="P50_101"/>
      <w:r w:rsidRPr="007913C2">
        <w:rPr>
          <w:sz w:val="24"/>
          <w:szCs w:val="24"/>
        </w:rPr>
        <w:t>50.101</w:t>
      </w:r>
      <w:bookmarkEnd w:id="2"/>
      <w:r w:rsidRPr="007913C2">
        <w:rPr>
          <w:sz w:val="24"/>
          <w:szCs w:val="24"/>
        </w:rPr>
        <w:t xml:space="preserve"> General.</w:t>
      </w:r>
    </w:p>
    <w:p w14:paraId="136E883F" w14:textId="77777777" w:rsidR="00540F2A" w:rsidRPr="007913C2" w:rsidRDefault="00540F2A" w:rsidP="00540F2A">
      <w:pPr>
        <w:pStyle w:val="Heading3"/>
        <w:rPr>
          <w:sz w:val="24"/>
          <w:szCs w:val="24"/>
        </w:rPr>
      </w:pPr>
      <w:bookmarkStart w:id="3" w:name="P50_101_3"/>
      <w:r w:rsidRPr="007913C2">
        <w:rPr>
          <w:sz w:val="24"/>
          <w:szCs w:val="24"/>
        </w:rPr>
        <w:t>50.101-3</w:t>
      </w:r>
      <w:bookmarkEnd w:id="3"/>
      <w:r w:rsidRPr="007913C2">
        <w:rPr>
          <w:spacing w:val="55"/>
          <w:sz w:val="24"/>
          <w:szCs w:val="24"/>
        </w:rPr>
        <w:t xml:space="preserve"> </w:t>
      </w:r>
      <w:r w:rsidRPr="007913C2">
        <w:rPr>
          <w:sz w:val="24"/>
          <w:szCs w:val="24"/>
        </w:rPr>
        <w:t>Records.</w:t>
      </w:r>
    </w:p>
    <w:p w14:paraId="126D8A7E" w14:textId="77777777" w:rsidR="00540F2A" w:rsidRPr="00CD6247" w:rsidRDefault="00540F2A" w:rsidP="00540F2A">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14:paraId="0F66C0B2" w14:textId="77777777" w:rsidR="00540F2A" w:rsidRPr="007913C2" w:rsidRDefault="00540F2A" w:rsidP="00540F2A">
      <w:pPr>
        <w:pStyle w:val="Heading3"/>
        <w:spacing w:after="240"/>
        <w:rPr>
          <w:spacing w:val="-1"/>
          <w:sz w:val="24"/>
          <w:szCs w:val="24"/>
        </w:rPr>
      </w:pPr>
      <w:bookmarkStart w:id="4" w:name="P50_103"/>
      <w:r w:rsidRPr="007913C2">
        <w:rPr>
          <w:sz w:val="24"/>
          <w:szCs w:val="24"/>
        </w:rPr>
        <w:t>50.103</w:t>
      </w:r>
      <w:bookmarkEnd w:id="4"/>
      <w:r w:rsidRPr="007913C2">
        <w:rPr>
          <w:sz w:val="24"/>
          <w:szCs w:val="24"/>
        </w:rPr>
        <w:t xml:space="preserve"> Contract adjustments.</w:t>
      </w:r>
    </w:p>
    <w:p w14:paraId="73FB13A0" w14:textId="77777777" w:rsidR="00540F2A" w:rsidRPr="007913C2" w:rsidRDefault="00540F2A" w:rsidP="00540F2A">
      <w:pPr>
        <w:pStyle w:val="Heading3"/>
        <w:rPr>
          <w:sz w:val="24"/>
          <w:szCs w:val="24"/>
        </w:rPr>
      </w:pPr>
      <w:bookmarkStart w:id="5" w:name="P50_103_5"/>
      <w:r w:rsidRPr="007913C2">
        <w:rPr>
          <w:sz w:val="24"/>
          <w:szCs w:val="24"/>
        </w:rPr>
        <w:t>50.103-5</w:t>
      </w:r>
      <w:bookmarkEnd w:id="5"/>
      <w:r w:rsidRPr="007913C2">
        <w:rPr>
          <w:sz w:val="24"/>
          <w:szCs w:val="24"/>
        </w:rPr>
        <w:t xml:space="preserve"> Processing cases.</w:t>
      </w:r>
    </w:p>
    <w:p w14:paraId="022CCC5A" w14:textId="77777777" w:rsidR="00540F2A" w:rsidRPr="00CD6247" w:rsidRDefault="00540F2A" w:rsidP="00540F2A">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14:paraId="0BA8497A" w14:textId="77777777" w:rsidR="00540F2A" w:rsidRPr="007913C2" w:rsidRDefault="00540F2A" w:rsidP="00540F2A">
      <w:pPr>
        <w:pStyle w:val="Heading3"/>
        <w:rPr>
          <w:sz w:val="24"/>
          <w:szCs w:val="24"/>
        </w:rPr>
      </w:pPr>
      <w:bookmarkStart w:id="6" w:name="P50_103_6"/>
      <w:r w:rsidRPr="007913C2">
        <w:rPr>
          <w:sz w:val="24"/>
          <w:szCs w:val="24"/>
        </w:rPr>
        <w:t>50.103-6</w:t>
      </w:r>
      <w:bookmarkEnd w:id="6"/>
      <w:r w:rsidRPr="007913C2">
        <w:rPr>
          <w:sz w:val="24"/>
          <w:szCs w:val="24"/>
        </w:rPr>
        <w:t xml:space="preserve"> Disposition.</w:t>
      </w:r>
    </w:p>
    <w:p w14:paraId="52178A50" w14:textId="77777777" w:rsidR="00540F2A" w:rsidRPr="00CD6247" w:rsidRDefault="00540F2A" w:rsidP="00540F2A">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14:paraId="6C220A59" w14:textId="77777777" w:rsidR="00540F2A" w:rsidRPr="00CD6247" w:rsidRDefault="00540F2A" w:rsidP="00540F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540F2A" w:rsidRPr="00CD6247" w:rsidSect="00FF4E5A">
          <w:headerReference w:type="even" r:id="rId14"/>
          <w:footerReference w:type="even" r:id="rId15"/>
          <w:headerReference w:type="first" r:id="rId16"/>
          <w:footerReference w:type="first" r:id="rId17"/>
          <w:pgSz w:w="12240" w:h="15840"/>
          <w:pgMar w:top="1440" w:right="1440" w:bottom="1440" w:left="1440" w:header="720" w:footer="720" w:gutter="0"/>
          <w:cols w:space="720"/>
          <w:titlePg/>
          <w:docGrid w:linePitch="299"/>
        </w:sectPr>
      </w:pPr>
      <w:bookmarkStart w:id="7" w:name="Part51"/>
      <w:bookmarkEnd w:id="7"/>
      <w:r w:rsidRPr="00CD6247">
        <w:rPr>
          <w:b/>
          <w:sz w:val="24"/>
          <w:szCs w:val="24"/>
        </w:rPr>
        <w:br w:type="page"/>
      </w:r>
    </w:p>
    <w:p w14:paraId="70F3ED71"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0-24T13:07:00Z" w:initials="BARCDA(">
    <w:p w14:paraId="003917D4" w14:textId="77777777" w:rsidR="00540F2A" w:rsidRDefault="00540F2A" w:rsidP="00540F2A">
      <w:pPr>
        <w:pStyle w:val="CommentText"/>
      </w:pPr>
      <w:r>
        <w:rPr>
          <w:rStyle w:val="CommentReference"/>
        </w:rPr>
        <w:annotationRef/>
      </w:r>
      <w:r>
        <w:t>On 10/24/16, the DLAD Editor replaced Part 50 in its entirety IAW PROCLTR 16-10.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3917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3917D4" w16cid:durableId="23678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C4299" w14:textId="77777777" w:rsidR="00540F2A" w:rsidRDefault="00540F2A" w:rsidP="00926910">
      <w:r>
        <w:separator/>
      </w:r>
    </w:p>
    <w:p w14:paraId="0113CEEA" w14:textId="77777777" w:rsidR="00540F2A" w:rsidRDefault="00540F2A"/>
    <w:p w14:paraId="6FF586B3" w14:textId="77777777" w:rsidR="00540F2A" w:rsidRDefault="00540F2A"/>
  </w:endnote>
  <w:endnote w:type="continuationSeparator" w:id="0">
    <w:p w14:paraId="069F3CA4" w14:textId="77777777" w:rsidR="00540F2A" w:rsidRDefault="00540F2A" w:rsidP="00926910">
      <w:r>
        <w:continuationSeparator/>
      </w:r>
    </w:p>
    <w:p w14:paraId="25E61694" w14:textId="77777777" w:rsidR="00540F2A" w:rsidRDefault="00540F2A"/>
    <w:p w14:paraId="06FCEBAF" w14:textId="77777777" w:rsidR="00540F2A" w:rsidRDefault="00540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D5CBB" w14:textId="77777777" w:rsidR="00540F2A" w:rsidRDefault="00540F2A"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October 2016</w:t>
    </w:r>
  </w:p>
  <w:p w14:paraId="3F1B3DC3" w14:textId="77777777" w:rsidR="00540F2A" w:rsidRDefault="00540F2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B205EC">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7A3CE" w14:textId="77777777" w:rsidR="00540F2A" w:rsidRPr="00CC3CA1" w:rsidRDefault="00540F2A">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07686"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A4FB"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7160E" w14:textId="77777777" w:rsidR="00540F2A" w:rsidRDefault="00540F2A" w:rsidP="00926910">
      <w:r>
        <w:separator/>
      </w:r>
    </w:p>
    <w:p w14:paraId="1225BF7A" w14:textId="77777777" w:rsidR="00540F2A" w:rsidRDefault="00540F2A"/>
    <w:p w14:paraId="4D2F5B20" w14:textId="77777777" w:rsidR="00540F2A" w:rsidRDefault="00540F2A"/>
  </w:footnote>
  <w:footnote w:type="continuationSeparator" w:id="0">
    <w:p w14:paraId="03BC5268" w14:textId="77777777" w:rsidR="00540F2A" w:rsidRDefault="00540F2A" w:rsidP="00926910">
      <w:r>
        <w:continuationSeparator/>
      </w:r>
    </w:p>
    <w:p w14:paraId="6AB21BA6" w14:textId="77777777" w:rsidR="00540F2A" w:rsidRDefault="00540F2A"/>
    <w:p w14:paraId="4DDB8E2A" w14:textId="77777777" w:rsidR="00540F2A" w:rsidRDefault="00540F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4467" w14:textId="77777777" w:rsidR="00540F2A" w:rsidRDefault="00540F2A" w:rsidP="00FB1011">
    <w:pPr>
      <w:pStyle w:val="Header"/>
      <w:jc w:val="center"/>
      <w:rPr>
        <w:b/>
      </w:rPr>
    </w:pPr>
    <w:r>
      <w:rPr>
        <w:b/>
      </w:rPr>
      <w:t>DEFENSE LOGISTICS ACQUISITION DIRECTIVE</w:t>
    </w:r>
  </w:p>
  <w:p w14:paraId="131C0979" w14:textId="77777777" w:rsidR="00540F2A" w:rsidRDefault="00540F2A"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14:paraId="35A42992" w14:textId="77777777" w:rsidR="00540F2A" w:rsidRPr="0076729F" w:rsidRDefault="00540F2A" w:rsidP="00FB1011">
    <w:pPr>
      <w:pStyle w:val="Heading1"/>
    </w:pPr>
    <w:r w:rsidRPr="0076729F">
      <w:t xml:space="preserve">PART </w:t>
    </w:r>
    <w:r>
      <w:t>50 – EXTRAORDINARY CONTRACTUAL ACTIONS AND THE SAFETY ACT</w:t>
    </w:r>
  </w:p>
  <w:p w14:paraId="75DB8BDF" w14:textId="77777777" w:rsidR="00540F2A" w:rsidRPr="00C067EB" w:rsidRDefault="00540F2A" w:rsidP="00FB1011">
    <w:pPr>
      <w:pBdr>
        <w:bottom w:val="double" w:sz="4" w:space="1" w:color="000000"/>
      </w:pBdr>
      <w:jc w:val="center"/>
      <w:rPr>
        <w:b/>
      </w:rPr>
    </w:pPr>
  </w:p>
  <w:p w14:paraId="0291CEF2" w14:textId="77777777" w:rsidR="00540F2A" w:rsidRDefault="00540F2A" w:rsidP="00FB1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EDFC7" w14:textId="77777777" w:rsidR="00540F2A" w:rsidRPr="000D4DF0" w:rsidRDefault="00540F2A" w:rsidP="000216BD">
    <w:pPr>
      <w:pStyle w:val="Header"/>
      <w:spacing w:after="240"/>
      <w:jc w:val="center"/>
      <w:rPr>
        <w:b/>
        <w:sz w:val="24"/>
        <w:szCs w:val="24"/>
      </w:rPr>
    </w:pPr>
    <w:r w:rsidRPr="000D4DF0">
      <w:rPr>
        <w:b/>
        <w:sz w:val="24"/>
        <w:szCs w:val="24"/>
      </w:rPr>
      <w:t>DEFENSE LOGISTICS ACQUISITION DIRECTIVE</w:t>
    </w:r>
  </w:p>
  <w:p w14:paraId="385BD08D" w14:textId="77777777" w:rsidR="00540F2A" w:rsidRPr="00BE166B" w:rsidRDefault="00540F2A" w:rsidP="000216BD">
    <w:pPr>
      <w:pStyle w:val="Heading1"/>
      <w:spacing w:after="240"/>
    </w:pPr>
    <w:r w:rsidRPr="000D4DF0">
      <w:rPr>
        <w:sz w:val="24"/>
        <w:szCs w:val="24"/>
      </w:rPr>
      <w:t>PART 50 – EXTRAORDINARY CONTRACTUAL ACTIONS AND THE SAFETY 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E07"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C1E9FC1"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4CE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E22F2A4"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0F2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25D5A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1446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