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4D" w:rsidRPr="00651BE8" w:rsidRDefault="004A034D" w:rsidP="00045233">
      <w:pPr>
        <w:pStyle w:val="Heading1"/>
        <w:rPr>
          <w:sz w:val="24"/>
          <w:szCs w:val="24"/>
        </w:rPr>
      </w:pPr>
      <w:bookmarkStart w:id="0" w:name="Part52"/>
      <w:r w:rsidRPr="00651BE8">
        <w:rPr>
          <w:sz w:val="24"/>
          <w:szCs w:val="24"/>
        </w:rPr>
        <w:t>PART 52 – SOLICITATION PROVISIONS AND CONTRACT CLAUSES</w:t>
      </w:r>
    </w:p>
    <w:p w:rsidR="004A034D" w:rsidRDefault="004A034D" w:rsidP="001C466C">
      <w:pPr>
        <w:spacing w:after="240"/>
        <w:jc w:val="center"/>
        <w:rPr>
          <w:i/>
          <w:sz w:val="24"/>
          <w:szCs w:val="24"/>
        </w:rPr>
      </w:pPr>
      <w:r w:rsidRPr="00651BE8">
        <w:rPr>
          <w:i/>
          <w:sz w:val="24"/>
          <w:szCs w:val="24"/>
        </w:rPr>
        <w:t>(Revised September 1, 2017 through PROCLTR 2017-20</w:t>
      </w:r>
      <w:r w:rsidRPr="00CD6247">
        <w:rPr>
          <w:i/>
          <w:sz w:val="24"/>
          <w:szCs w:val="24"/>
        </w:rPr>
        <w:t>)</w:t>
      </w:r>
    </w:p>
    <w:p w:rsidR="004A034D" w:rsidRPr="00CD6247" w:rsidRDefault="004A034D" w:rsidP="001C466C">
      <w:pPr>
        <w:spacing w:after="240"/>
        <w:jc w:val="center"/>
        <w:rPr>
          <w:b/>
          <w:sz w:val="24"/>
          <w:szCs w:val="24"/>
        </w:rPr>
      </w:pPr>
      <w:r w:rsidRPr="00CD6247">
        <w:rPr>
          <w:b/>
          <w:sz w:val="24"/>
          <w:szCs w:val="24"/>
        </w:rPr>
        <w:t>TABLE OF CONTENTS</w:t>
      </w:r>
    </w:p>
    <w:p w:rsidR="004A034D" w:rsidRPr="00CD6247" w:rsidRDefault="004A034D" w:rsidP="00CE5B2E">
      <w:pPr>
        <w:rPr>
          <w:b/>
          <w:sz w:val="24"/>
          <w:szCs w:val="24"/>
        </w:rPr>
      </w:pPr>
      <w:r w:rsidRPr="00CD6247">
        <w:rPr>
          <w:b/>
          <w:sz w:val="24"/>
          <w:szCs w:val="24"/>
        </w:rPr>
        <w:t>SUBPART 52.1 – INSTRUCTIONS FOR USING PROVISIONS AND CLAUSES</w:t>
      </w:r>
    </w:p>
    <w:p w:rsidR="004A034D" w:rsidRPr="00CD6247" w:rsidRDefault="004037D9" w:rsidP="00CE5B2E">
      <w:pPr>
        <w:rPr>
          <w:sz w:val="24"/>
          <w:szCs w:val="24"/>
        </w:rPr>
      </w:pPr>
      <w:hyperlink w:anchor="P52_101" w:history="1">
        <w:r w:rsidR="004A034D" w:rsidRPr="00CD6247">
          <w:rPr>
            <w:sz w:val="24"/>
            <w:szCs w:val="24"/>
            <w:u w:val="single"/>
          </w:rPr>
          <w:t>52.101</w:t>
        </w:r>
      </w:hyperlink>
      <w:r w:rsidR="004A034D" w:rsidRPr="00CD6247">
        <w:rPr>
          <w:sz w:val="24"/>
          <w:szCs w:val="24"/>
        </w:rPr>
        <w:tab/>
      </w:r>
      <w:r w:rsidR="004A034D" w:rsidRPr="00CD6247">
        <w:rPr>
          <w:sz w:val="24"/>
          <w:szCs w:val="24"/>
        </w:rPr>
        <w:tab/>
      </w:r>
      <w:r w:rsidR="004A034D" w:rsidRPr="00CD6247">
        <w:rPr>
          <w:sz w:val="24"/>
          <w:szCs w:val="24"/>
        </w:rPr>
        <w:tab/>
        <w:t>Using Part 52.</w:t>
      </w:r>
    </w:p>
    <w:p w:rsidR="004A034D" w:rsidRPr="00CD6247" w:rsidRDefault="004A034D" w:rsidP="00CE5B2E">
      <w:pPr>
        <w:rPr>
          <w:b/>
          <w:sz w:val="24"/>
          <w:szCs w:val="24"/>
        </w:rPr>
      </w:pPr>
      <w:r w:rsidRPr="00CD6247">
        <w:rPr>
          <w:b/>
          <w:sz w:val="24"/>
          <w:szCs w:val="24"/>
        </w:rPr>
        <w:t>SUBPART 52.2 – TEXTS OF PROVISIONS AND CLAUSES</w:t>
      </w:r>
    </w:p>
    <w:p w:rsidR="004A034D" w:rsidRPr="00CD6247" w:rsidRDefault="004037D9" w:rsidP="00CE5B2E">
      <w:pPr>
        <w:rPr>
          <w:sz w:val="24"/>
          <w:szCs w:val="24"/>
        </w:rPr>
      </w:pPr>
      <w:hyperlink w:anchor="P52_200" w:history="1">
        <w:r w:rsidR="004A034D" w:rsidRPr="00CD6247">
          <w:rPr>
            <w:sz w:val="24"/>
            <w:szCs w:val="24"/>
            <w:u w:val="single"/>
          </w:rPr>
          <w:t>52.200</w:t>
        </w:r>
      </w:hyperlink>
      <w:r w:rsidR="004A034D" w:rsidRPr="00CD6247">
        <w:rPr>
          <w:sz w:val="24"/>
          <w:szCs w:val="24"/>
        </w:rPr>
        <w:tab/>
      </w:r>
      <w:r w:rsidR="004A034D" w:rsidRPr="00CD6247">
        <w:rPr>
          <w:sz w:val="24"/>
          <w:szCs w:val="24"/>
        </w:rPr>
        <w:tab/>
      </w:r>
      <w:r w:rsidR="004A034D" w:rsidRPr="00CD6247">
        <w:rPr>
          <w:sz w:val="24"/>
          <w:szCs w:val="24"/>
        </w:rPr>
        <w:tab/>
        <w:t>Scope of subpart.</w:t>
      </w:r>
    </w:p>
    <w:p w:rsidR="004A034D" w:rsidRPr="00CD6247" w:rsidRDefault="004037D9" w:rsidP="00CE5B2E">
      <w:pPr>
        <w:rPr>
          <w:sz w:val="24"/>
          <w:szCs w:val="24"/>
        </w:rPr>
      </w:pPr>
      <w:hyperlink w:anchor="P52_204_9000" w:history="1">
        <w:r w:rsidR="004A034D" w:rsidRPr="00CD6247">
          <w:rPr>
            <w:rStyle w:val="Hyperlink"/>
            <w:sz w:val="24"/>
            <w:szCs w:val="24"/>
          </w:rPr>
          <w:t>52.204-9000</w:t>
        </w:r>
      </w:hyperlink>
      <w:r w:rsidR="004A034D" w:rsidRPr="00CD6247">
        <w:rPr>
          <w:sz w:val="24"/>
          <w:szCs w:val="24"/>
        </w:rPr>
        <w:tab/>
        <w:t>Contractor Personnel Security Requirements.</w:t>
      </w:r>
    </w:p>
    <w:p w:rsidR="004A034D" w:rsidRPr="00CD6247" w:rsidRDefault="004037D9" w:rsidP="00CE5B2E">
      <w:pPr>
        <w:rPr>
          <w:sz w:val="24"/>
          <w:szCs w:val="24"/>
        </w:rPr>
      </w:pPr>
      <w:hyperlink w:anchor="P52_232_9006" w:history="1">
        <w:r w:rsidR="004A034D" w:rsidRPr="00CD6247">
          <w:rPr>
            <w:rStyle w:val="Hyperlink"/>
            <w:sz w:val="24"/>
            <w:szCs w:val="24"/>
          </w:rPr>
          <w:t>52.232-9006</w:t>
        </w:r>
      </w:hyperlink>
      <w:r w:rsidR="004A034D" w:rsidRPr="00CD6247">
        <w:rPr>
          <w:sz w:val="24"/>
          <w:szCs w:val="24"/>
        </w:rPr>
        <w:tab/>
      </w:r>
      <w:r w:rsidR="004A034D" w:rsidRPr="00CD6247">
        <w:rPr>
          <w:rFonts w:eastAsia="Calibri"/>
          <w:sz w:val="24"/>
          <w:szCs w:val="24"/>
        </w:rPr>
        <w:t>Transporter Proof of Delivery (TPD).</w:t>
      </w:r>
    </w:p>
    <w:p w:rsidR="004A034D" w:rsidRPr="00CD6247" w:rsidRDefault="004037D9" w:rsidP="007704B1">
      <w:pPr>
        <w:spacing w:after="240"/>
        <w:rPr>
          <w:sz w:val="24"/>
          <w:szCs w:val="24"/>
        </w:rPr>
      </w:pPr>
      <w:hyperlink w:anchor="P52_233_9001" w:history="1">
        <w:r w:rsidR="004A034D" w:rsidRPr="00CD6247">
          <w:rPr>
            <w:sz w:val="24"/>
            <w:szCs w:val="24"/>
            <w:u w:val="single"/>
          </w:rPr>
          <w:t>52.233-9001</w:t>
        </w:r>
      </w:hyperlink>
      <w:r w:rsidR="004A034D" w:rsidRPr="00CD6247">
        <w:rPr>
          <w:sz w:val="24"/>
          <w:szCs w:val="24"/>
        </w:rPr>
        <w:tab/>
        <w:t>Disputes – Agreement to Use Alternative Dispute Resolution (ADR).</w:t>
      </w:r>
    </w:p>
    <w:bookmarkEnd w:id="0"/>
    <w:p w:rsidR="004A034D" w:rsidRPr="00CD6247" w:rsidRDefault="004A034D" w:rsidP="00045233">
      <w:pPr>
        <w:pStyle w:val="Heading2"/>
      </w:pPr>
      <w:r w:rsidRPr="00CD6247">
        <w:t>SUBPART 52.1 – INSTRUCTIONS F</w:t>
      </w:r>
      <w:r>
        <w:t>OR USING PROVISIONS AND CLAUSES</w:t>
      </w:r>
    </w:p>
    <w:p w:rsidR="004A034D" w:rsidRPr="00CD6247" w:rsidRDefault="004A034D" w:rsidP="004F3E26">
      <w:pPr>
        <w:jc w:val="center"/>
        <w:rPr>
          <w:i/>
          <w:sz w:val="24"/>
          <w:szCs w:val="24"/>
        </w:rPr>
      </w:pPr>
    </w:p>
    <w:p w:rsidR="004037D9" w:rsidRPr="007913C2" w:rsidRDefault="004A034D" w:rsidP="007913C2">
      <w:pPr>
        <w:pStyle w:val="Heading3"/>
        <w:rPr>
          <w:sz w:val="24"/>
          <w:szCs w:val="24"/>
        </w:rPr>
      </w:pPr>
      <w:bookmarkStart w:id="1" w:name="P52_101"/>
      <w:r w:rsidRPr="007913C2">
        <w:rPr>
          <w:sz w:val="24"/>
          <w:szCs w:val="24"/>
        </w:rPr>
        <w:t>52.101</w:t>
      </w:r>
      <w:bookmarkEnd w:id="1"/>
      <w:r>
        <w:rPr>
          <w:sz w:val="24"/>
          <w:szCs w:val="24"/>
        </w:rPr>
        <w:t xml:space="preserve"> Using Part 52.</w:t>
      </w:r>
    </w:p>
    <w:p w:rsidR="004037D9" w:rsidRPr="00CD6247" w:rsidRDefault="004037D9" w:rsidP="004037D9">
      <w:pPr>
        <w:pStyle w:val="List1"/>
      </w:pPr>
      <w:r w:rsidRPr="00CD6247">
        <w:t>(b)</w:t>
      </w:r>
      <w:r w:rsidR="004A034D" w:rsidRPr="00CD6247">
        <w:t xml:space="preserve"> Numbering.</w:t>
      </w:r>
    </w:p>
    <w:p w:rsidR="004037D9" w:rsidRPr="00CD6247" w:rsidRDefault="004A034D" w:rsidP="004037D9">
      <w:pPr>
        <w:pStyle w:val="List2"/>
      </w:pPr>
      <w:r w:rsidRPr="004037D9">
        <w:t>(2)</w:t>
      </w:r>
      <w:r w:rsidRPr="00CD6247">
        <w:rPr>
          <w:sz w:val="24"/>
          <w:szCs w:val="24"/>
        </w:rPr>
        <w:t xml:space="preserve"> Provisions or clauses that supplement Federal Acquisition Regulations (FAR) and Defense Federal Acquisition Regulation Supplement (DFARS).</w:t>
      </w:r>
    </w:p>
    <w:p w:rsidR="004037D9" w:rsidRPr="00CD6247" w:rsidRDefault="004A034D" w:rsidP="007704B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(ii) Only those provisions and clauses in this directive that are codified are preceded by an assigned CFR chapter number.</w:t>
      </w:r>
    </w:p>
    <w:p w:rsidR="004A034D" w:rsidRPr="00CD6247" w:rsidRDefault="004A034D" w:rsidP="007704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CD6247">
        <w:rPr>
          <w:sz w:val="24"/>
          <w:szCs w:val="24"/>
        </w:rPr>
        <w:t xml:space="preserve">(B) See </w:t>
      </w:r>
      <w:hyperlink w:anchor="P1_301_91" w:history="1">
        <w:r w:rsidRPr="00CD6247">
          <w:rPr>
            <w:rStyle w:val="Hyperlink"/>
            <w:sz w:val="24"/>
            <w:szCs w:val="24"/>
          </w:rPr>
          <w:t>1.301-91(c)</w:t>
        </w:r>
      </w:hyperlink>
      <w:r w:rsidRPr="00CD6247">
        <w:rPr>
          <w:sz w:val="24"/>
          <w:szCs w:val="24"/>
        </w:rPr>
        <w:t>.</w:t>
      </w:r>
    </w:p>
    <w:p w:rsidR="004A034D" w:rsidRPr="004A7535" w:rsidRDefault="004A034D" w:rsidP="00045233">
      <w:pPr>
        <w:pStyle w:val="Heading2"/>
      </w:pPr>
      <w:r w:rsidRPr="004A7535">
        <w:t>SUBPART 52.2 – TEXTS OF PROVISIONS AND CLAUSES</w:t>
      </w:r>
    </w:p>
    <w:p w:rsidR="004A034D" w:rsidRPr="004A7535" w:rsidRDefault="004A034D" w:rsidP="001C466C">
      <w:pPr>
        <w:spacing w:after="240"/>
        <w:jc w:val="center"/>
        <w:rPr>
          <w:i/>
          <w:sz w:val="24"/>
          <w:szCs w:val="24"/>
        </w:rPr>
      </w:pPr>
      <w:r w:rsidRPr="004A7535">
        <w:rPr>
          <w:i/>
          <w:sz w:val="24"/>
          <w:szCs w:val="24"/>
        </w:rPr>
        <w:t>(Revised September 1, 2017 through PROCLTR 2017-20)</w:t>
      </w:r>
    </w:p>
    <w:p w:rsidR="004A034D" w:rsidRPr="004A7535" w:rsidRDefault="004A034D" w:rsidP="007913C2">
      <w:pPr>
        <w:pStyle w:val="Heading3"/>
        <w:rPr>
          <w:sz w:val="24"/>
          <w:szCs w:val="24"/>
        </w:rPr>
      </w:pPr>
      <w:bookmarkStart w:id="2" w:name="P52_200"/>
      <w:r w:rsidRPr="004A7535">
        <w:rPr>
          <w:sz w:val="24"/>
          <w:szCs w:val="24"/>
        </w:rPr>
        <w:t>52.200</w:t>
      </w:r>
      <w:bookmarkEnd w:id="2"/>
      <w:r w:rsidRPr="004A7535">
        <w:rPr>
          <w:sz w:val="24"/>
          <w:szCs w:val="24"/>
        </w:rPr>
        <w:t xml:space="preserve"> Scope of subpart.</w:t>
      </w:r>
    </w:p>
    <w:p w:rsidR="004A034D" w:rsidRPr="004A7535" w:rsidRDefault="004A034D" w:rsidP="001C466C">
      <w:pPr>
        <w:spacing w:after="240"/>
        <w:rPr>
          <w:sz w:val="24"/>
          <w:szCs w:val="24"/>
        </w:rPr>
      </w:pPr>
      <w:r w:rsidRPr="004A7535">
        <w:rPr>
          <w:sz w:val="24"/>
          <w:szCs w:val="24"/>
        </w:rPr>
        <w:t xml:space="preserve">This subpart sets forth the texts of all </w:t>
      </w:r>
      <w:r w:rsidRPr="004A7535">
        <w:rPr>
          <w:rFonts w:eastAsia="Calibri"/>
          <w:sz w:val="24"/>
          <w:szCs w:val="24"/>
        </w:rPr>
        <w:t xml:space="preserve">Defense Logistics Acquisition Directive (DLAD) </w:t>
      </w:r>
      <w:r w:rsidRPr="004A7535">
        <w:rPr>
          <w:sz w:val="24"/>
          <w:szCs w:val="24"/>
        </w:rPr>
        <w:t>provisions and clauses, and for each provision and clause, gives a cross</w:t>
      </w:r>
      <w:r w:rsidRPr="004A7535">
        <w:rPr>
          <w:sz w:val="24"/>
          <w:szCs w:val="24"/>
        </w:rPr>
        <w:noBreakHyphen/>
        <w:t>reference to the location in the DLAD that prescribes its use.</w:t>
      </w:r>
    </w:p>
    <w:p w:rsidR="004A034D" w:rsidRPr="004A7535" w:rsidRDefault="004A034D" w:rsidP="00A561E2">
      <w:pPr>
        <w:pStyle w:val="Heading3"/>
        <w:rPr>
          <w:sz w:val="24"/>
          <w:szCs w:val="24"/>
        </w:rPr>
      </w:pPr>
      <w:bookmarkStart w:id="3" w:name="P52_204_9000"/>
      <w:bookmarkStart w:id="4" w:name="P52_204_9001"/>
      <w:r w:rsidRPr="004A7535">
        <w:rPr>
          <w:sz w:val="24"/>
          <w:szCs w:val="24"/>
        </w:rPr>
        <w:t>52.204-9000 Contractor Personnel Security Requirements.</w:t>
      </w:r>
    </w:p>
    <w:p w:rsidR="004A034D" w:rsidRPr="004A7535" w:rsidRDefault="004A034D" w:rsidP="001C466C">
      <w:pPr>
        <w:spacing w:after="240"/>
        <w:rPr>
          <w:sz w:val="24"/>
          <w:szCs w:val="24"/>
        </w:rPr>
      </w:pPr>
      <w:r w:rsidRPr="004A7535">
        <w:rPr>
          <w:sz w:val="24"/>
          <w:szCs w:val="24"/>
        </w:rPr>
        <w:t xml:space="preserve">As prescribed in </w:t>
      </w:r>
      <w:hyperlink w:anchor="P4_1303_90" w:history="1">
        <w:r w:rsidRPr="004A7535">
          <w:rPr>
            <w:sz w:val="24"/>
            <w:szCs w:val="24"/>
          </w:rPr>
          <w:t>4.1303-90</w:t>
        </w:r>
      </w:hyperlink>
      <w:r w:rsidRPr="004A7535">
        <w:rPr>
          <w:sz w:val="24"/>
          <w:szCs w:val="24"/>
        </w:rPr>
        <w:t>, insert the following clause:</w:t>
      </w:r>
      <w:bookmarkEnd w:id="3"/>
    </w:p>
    <w:p w:rsidR="004037D9" w:rsidRPr="00CD6247" w:rsidRDefault="004A034D" w:rsidP="001C466C">
      <w:pPr>
        <w:adjustRightInd w:val="0"/>
        <w:spacing w:after="240"/>
        <w:jc w:val="center"/>
        <w:rPr>
          <w:sz w:val="24"/>
          <w:szCs w:val="24"/>
        </w:rPr>
      </w:pPr>
      <w:r w:rsidRPr="00CD6247">
        <w:rPr>
          <w:sz w:val="24"/>
          <w:szCs w:val="24"/>
        </w:rPr>
        <w:t>CONTRACTOR PERSONNEL SECURITY REQUIREMENTS (JUL 2015)</w:t>
      </w:r>
    </w:p>
    <w:p w:rsidR="004037D9" w:rsidRPr="00CD6247" w:rsidRDefault="004037D9" w:rsidP="004037D9">
      <w:pPr>
        <w:pStyle w:val="List1"/>
      </w:pPr>
      <w:r w:rsidRPr="00CD6247">
        <w:t>(a)</w:t>
      </w:r>
      <w:r w:rsidR="004A034D" w:rsidRPr="00CD6247">
        <w:t xml:space="preserve">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rsidR="004037D9" w:rsidRPr="00CD6247" w:rsidRDefault="004037D9" w:rsidP="004037D9">
      <w:pPr>
        <w:pStyle w:val="List1"/>
      </w:pPr>
      <w:r w:rsidRPr="00CD6247">
        <w:t>(b)</w:t>
      </w:r>
      <w:r w:rsidR="004A034D" w:rsidRPr="00CD6247">
        <w:t xml:space="preserve">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rsidR="004037D9" w:rsidRPr="00CD6247" w:rsidRDefault="004A034D" w:rsidP="004037D9">
      <w:pPr>
        <w:pStyle w:val="List2"/>
      </w:pPr>
      <w:r w:rsidRPr="00CD6247">
        <w:rPr>
          <w:sz w:val="24"/>
          <w:szCs w:val="24"/>
        </w:rPr>
        <w:t>(1) IT-I for an IT position requiring a single scope background investigation (SSBI) or SSBI equivalent;</w:t>
      </w:r>
    </w:p>
    <w:p w:rsidR="004037D9" w:rsidRPr="00CD6247" w:rsidRDefault="004A034D" w:rsidP="004037D9">
      <w:pPr>
        <w:pStyle w:val="List2"/>
      </w:pPr>
      <w:r w:rsidRPr="00CD6247">
        <w:rPr>
          <w:sz w:val="24"/>
          <w:szCs w:val="24"/>
        </w:rPr>
        <w:t>(2) IT-II for an IT position requiring a National Agency check with Law and Credit (NACLC) or NACLC equivalent; and</w:t>
      </w:r>
    </w:p>
    <w:p w:rsidR="004A034D" w:rsidRDefault="004A034D" w:rsidP="004037D9">
      <w:pPr>
        <w:pStyle w:val="List2"/>
      </w:pPr>
      <w:r w:rsidRPr="00CD6247">
        <w:rPr>
          <w:sz w:val="24"/>
          <w:szCs w:val="24"/>
        </w:rPr>
        <w:t>(3) IT-III for an IT position requiring a NACI or equivalent.</w:t>
      </w:r>
    </w:p>
    <w:p w:rsidR="004037D9" w:rsidRPr="00CD6247" w:rsidRDefault="004A034D" w:rsidP="001C466C">
      <w:pPr>
        <w:tabs>
          <w:tab w:val="clear" w:pos="360"/>
          <w:tab w:val="clear" w:pos="720"/>
        </w:tabs>
        <w:jc w:val="center"/>
        <w:rPr>
          <w:sz w:val="24"/>
          <w:szCs w:val="24"/>
        </w:rPr>
      </w:pPr>
      <w:r w:rsidRPr="00CD6247">
        <w:rPr>
          <w:sz w:val="24"/>
          <w:szCs w:val="24"/>
        </w:rPr>
        <w:t>Note: IT levels will be designated according to the criteria in DoD 5200.2-R.</w:t>
      </w:r>
    </w:p>
    <w:p w:rsidR="004037D9" w:rsidRPr="00CD6247" w:rsidRDefault="004037D9" w:rsidP="004037D9">
      <w:pPr>
        <w:pStyle w:val="List1"/>
      </w:pPr>
      <w:r w:rsidRPr="00CD6247">
        <w:t>(c)</w:t>
      </w:r>
      <w:r w:rsidR="004A034D" w:rsidRPr="00CD6247">
        <w:t xml:space="preserve"> Previously completed security investigations may be accepted by the Government in lieu of new investigations if determined by the DLA Intelligence Personnel Security Office to be essentially equivalent in scope</w:t>
      </w:r>
      <w:r w:rsidR="004A034D">
        <w:t xml:space="preserve"> to the contract requirements. </w:t>
      </w:r>
      <w:r w:rsidR="004A034D" w:rsidRPr="00CD6247">
        <w:t xml:space="preserve">The length of time elapsed since the previous investigation will also be considered in determining whether a new investigation is warranted. To assist the Government in making this determination, the Contractor must provide the following information to the </w:t>
      </w:r>
      <w:r w:rsidR="004A034D" w:rsidRPr="00CD6247">
        <w:rPr>
          <w:lang w:bidi="en-US"/>
        </w:rPr>
        <w:t xml:space="preserve">respective DLA Intelligence Personnel Security Office </w:t>
      </w:r>
      <w:r w:rsidR="004A034D" w:rsidRPr="00CD6247">
        <w:t>immediately upon receipt of the contract. This information must be provided for each Contractor employee who will perform work on a Federally-controlled facility and/or will require access to Federally-controlled information systems:</w:t>
      </w:r>
    </w:p>
    <w:p w:rsidR="004037D9" w:rsidRPr="00CD6247" w:rsidRDefault="004A034D" w:rsidP="004037D9">
      <w:pPr>
        <w:pStyle w:val="List2"/>
      </w:pPr>
      <w:r w:rsidRPr="00CD6247">
        <w:rPr>
          <w:sz w:val="24"/>
          <w:szCs w:val="24"/>
        </w:rPr>
        <w:t>(1) Full name, with middle name, as applicable, with social security number;</w:t>
      </w:r>
    </w:p>
    <w:p w:rsidR="004037D9" w:rsidRPr="00CD6247" w:rsidRDefault="004A034D" w:rsidP="004037D9">
      <w:pPr>
        <w:pStyle w:val="List2"/>
      </w:pPr>
      <w:r w:rsidRPr="00CD6247">
        <w:rPr>
          <w:sz w:val="24"/>
          <w:szCs w:val="24"/>
        </w:rPr>
        <w:t>(2) Citizenship status with date and place of birth;</w:t>
      </w:r>
    </w:p>
    <w:p w:rsidR="004037D9" w:rsidRPr="00CD6247" w:rsidRDefault="004A034D" w:rsidP="004037D9">
      <w:pPr>
        <w:pStyle w:val="List2"/>
      </w:pPr>
      <w:r w:rsidRPr="00CD6247">
        <w:rPr>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rsidR="004037D9" w:rsidRPr="00CD6247" w:rsidRDefault="004A034D" w:rsidP="004037D9">
      <w:pPr>
        <w:pStyle w:val="List2"/>
      </w:pPr>
      <w:r w:rsidRPr="00CD6247">
        <w:rPr>
          <w:sz w:val="24"/>
          <w:szCs w:val="24"/>
        </w:rPr>
        <w:t>(4) Company name, address, phone and fax numbers with email address;</w:t>
      </w:r>
    </w:p>
    <w:p w:rsidR="004037D9" w:rsidRPr="00CD6247" w:rsidRDefault="004A034D" w:rsidP="004037D9">
      <w:pPr>
        <w:pStyle w:val="List2"/>
      </w:pPr>
      <w:r w:rsidRPr="00CD6247">
        <w:rPr>
          <w:sz w:val="24"/>
          <w:szCs w:val="24"/>
        </w:rPr>
        <w:t>(5) Location of on-site workstation or phone number if off-site (if known by the time of award); and</w:t>
      </w:r>
    </w:p>
    <w:p w:rsidR="004037D9" w:rsidRPr="00CD6247" w:rsidRDefault="004A034D" w:rsidP="004037D9">
      <w:pPr>
        <w:pStyle w:val="List2"/>
      </w:pPr>
      <w:r w:rsidRPr="00CD6247">
        <w:rPr>
          <w:sz w:val="24"/>
          <w:szCs w:val="24"/>
        </w:rPr>
        <w:t>(6) Delivery order or contract number and expiration date; and name of the Contracting Officer.</w:t>
      </w:r>
    </w:p>
    <w:p w:rsidR="004037D9" w:rsidRPr="00CD6247" w:rsidRDefault="004037D9" w:rsidP="004037D9">
      <w:pPr>
        <w:pStyle w:val="List1"/>
        <w:rPr>
          <w:lang w:bidi="en-US"/>
        </w:rPr>
      </w:pPr>
      <w:r w:rsidRPr="00CD6247">
        <w:rPr>
          <w:lang w:bidi="en-US"/>
        </w:rPr>
        <w:t>(d)</w:t>
      </w:r>
      <w:r w:rsidR="004A034D" w:rsidRPr="00CD6247">
        <w:rPr>
          <w:lang w:bidi="en-US"/>
        </w:rPr>
        <w:t xml:space="preserve"> The Contracting Officer will ensure that the Contractor is notified as soon as a determination is made by the assigned or cognizant DLA Intelligence Personnel Security Office regarding acceptance of the previous investigation and clearance level.</w:t>
      </w:r>
    </w:p>
    <w:p w:rsidR="004037D9" w:rsidRPr="00CD6247" w:rsidRDefault="004A034D" w:rsidP="004037D9">
      <w:pPr>
        <w:pStyle w:val="List2"/>
        <w:rPr>
          <w:lang w:bidi="en-US"/>
        </w:rPr>
      </w:pPr>
      <w:r w:rsidRPr="00CD6247">
        <w:rPr>
          <w:sz w:val="24"/>
          <w:szCs w:val="24"/>
          <w:lang w:bidi="en-US"/>
        </w:rPr>
        <w:t>(1) If a new investigation is deemed necessary, the Contractor and Contracting Officer will be notified by the respective DLA Personnel Security Office after appropriate checks in DoD databases have been made.</w:t>
      </w:r>
    </w:p>
    <w:p w:rsidR="004037D9" w:rsidRPr="00CD6247" w:rsidRDefault="004A034D" w:rsidP="004037D9">
      <w:pPr>
        <w:pStyle w:val="List2"/>
        <w:rPr>
          <w:lang w:bidi="en-US"/>
        </w:rPr>
      </w:pPr>
      <w:r w:rsidRPr="00CD6247">
        <w:rPr>
          <w:sz w:val="24"/>
          <w:szCs w:val="24"/>
          <w:lang w:bidi="en-US"/>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rsidR="004037D9" w:rsidRPr="00CD6247" w:rsidRDefault="004A034D" w:rsidP="004037D9">
      <w:pPr>
        <w:pStyle w:val="List2"/>
        <w:rPr>
          <w:lang w:bidi="en-US"/>
        </w:rPr>
      </w:pPr>
      <w:r w:rsidRPr="00CD6247">
        <w:rPr>
          <w:sz w:val="24"/>
          <w:szCs w:val="24"/>
          <w:lang w:bidi="en-US"/>
        </w:rPr>
        <w:t>(3) The Contracting Officer will ensure that the respective DLA Intelligence Personnel Security Office initiates investigations for Contractor employees not requiring access to classified information (i.e., IT or unescorted entry).</w:t>
      </w:r>
    </w:p>
    <w:p w:rsidR="004037D9" w:rsidRPr="00CD6247" w:rsidRDefault="004A034D" w:rsidP="004037D9">
      <w:pPr>
        <w:pStyle w:val="List2"/>
        <w:rPr>
          <w:lang w:bidi="en-US"/>
        </w:rPr>
      </w:pPr>
      <w:r w:rsidRPr="00CD6247">
        <w:rPr>
          <w:sz w:val="24"/>
          <w:szCs w:val="24"/>
          <w:lang w:bidi="en-US"/>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rsidR="004037D9" w:rsidRPr="00CD6247" w:rsidRDefault="004037D9" w:rsidP="004037D9">
      <w:pPr>
        <w:pStyle w:val="List1"/>
        <w:rPr>
          <w:lang w:bidi="en-US"/>
        </w:rPr>
      </w:pPr>
      <w:r w:rsidRPr="00CD6247">
        <w:rPr>
          <w:lang w:bidi="en-US"/>
        </w:rPr>
        <w:t>(e)</w:t>
      </w:r>
      <w:r w:rsidR="004A034D" w:rsidRPr="00CD6247">
        <w:rPr>
          <w:lang w:bidi="en-US"/>
        </w:rPr>
        <w:t xml:space="preserve"> The Contractor is responsible for ensuring that each Contractor employee assigned to the position has the appropriate security clearance level.</w:t>
      </w:r>
    </w:p>
    <w:p w:rsidR="004037D9" w:rsidRPr="00CD6247" w:rsidRDefault="004037D9" w:rsidP="004037D9">
      <w:pPr>
        <w:pStyle w:val="List1"/>
        <w:rPr>
          <w:lang w:bidi="en-US"/>
        </w:rPr>
      </w:pPr>
      <w:r w:rsidRPr="00CD6247">
        <w:rPr>
          <w:lang w:bidi="en-US"/>
        </w:rPr>
        <w:t>(f)</w:t>
      </w:r>
      <w:r w:rsidR="004A034D" w:rsidRPr="00CD6247">
        <w:rPr>
          <w:lang w:bidi="en-US"/>
        </w:rPr>
        <w:t xml:space="preserve"> The Contractor shall submit each request for IT access and investigation through the Contracting Officer to the assigned or cognizant DLA Intelligence Personnel Security Office. Requests shall include the following information and/or documentation:</w:t>
      </w:r>
    </w:p>
    <w:p w:rsidR="004037D9" w:rsidRPr="00CD6247" w:rsidRDefault="004A034D" w:rsidP="004037D9">
      <w:pPr>
        <w:pStyle w:val="List2"/>
        <w:rPr>
          <w:lang w:bidi="en-US"/>
        </w:rPr>
      </w:pPr>
      <w:r w:rsidRPr="00CD6247">
        <w:rPr>
          <w:sz w:val="24"/>
          <w:szCs w:val="24"/>
          <w:lang w:bidi="en-US"/>
        </w:rPr>
        <w:t>(1) Standard Form (SF) 85, Questionnaire for Non-Sensitive Positions, or the SF 86, Questionnaire for National Security Positions (see note below);</w:t>
      </w:r>
    </w:p>
    <w:p w:rsidR="004037D9" w:rsidRPr="00CD6247" w:rsidRDefault="004A034D" w:rsidP="004037D9">
      <w:pPr>
        <w:pStyle w:val="List2"/>
        <w:rPr>
          <w:lang w:bidi="en-US"/>
        </w:rPr>
      </w:pPr>
      <w:r w:rsidRPr="00CD6247">
        <w:rPr>
          <w:sz w:val="24"/>
          <w:szCs w:val="24"/>
          <w:lang w:bidi="en-US"/>
        </w:rPr>
        <w:t>(2) Proof of citizenship (i.e., an original or a certified copy of a birth certificate, passport, or naturalization certificate); and</w:t>
      </w:r>
    </w:p>
    <w:p w:rsidR="004A034D" w:rsidRPr="00CD6247" w:rsidRDefault="004A034D" w:rsidP="004037D9">
      <w:pPr>
        <w:pStyle w:val="List2"/>
        <w:rPr>
          <w:lang w:bidi="en-US"/>
        </w:rPr>
      </w:pPr>
      <w:r w:rsidRPr="00CD6247">
        <w:rPr>
          <w:sz w:val="24"/>
          <w:szCs w:val="24"/>
          <w:lang w:bidi="en-US"/>
        </w:rPr>
        <w:t>(3) Form FD-258, Fingerprint Card (however, fingerprinting can be performed by the cognizant DLA Intelligence Personnel Security Office).</w:t>
      </w:r>
    </w:p>
    <w:p w:rsidR="004037D9" w:rsidRDefault="004A034D" w:rsidP="00394B55">
      <w:pPr>
        <w:tabs>
          <w:tab w:val="clear" w:pos="360"/>
          <w:tab w:val="clear" w:pos="720"/>
        </w:tabs>
        <w:ind w:left="360" w:right="547"/>
        <w:rPr>
          <w:rFonts w:eastAsia="Calibri"/>
          <w:sz w:val="24"/>
          <w:szCs w:val="24"/>
          <w:lang w:bidi="en-US"/>
        </w:rPr>
      </w:pPr>
      <w:r w:rsidRPr="00CD6247">
        <w:rPr>
          <w:rFonts w:eastAsia="Calibri"/>
          <w:sz w:val="24"/>
          <w:szCs w:val="24"/>
          <w:lang w:bidi="en-US"/>
        </w:rPr>
        <w:t xml:space="preserve">(Note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t>
      </w:r>
      <w:hyperlink r:id="rId12" w:history="1">
        <w:r w:rsidRPr="00CD6247">
          <w:rPr>
            <w:rFonts w:eastAsia="Calibri"/>
            <w:sz w:val="24"/>
            <w:szCs w:val="24"/>
            <w:lang w:bidi="en-US"/>
          </w:rPr>
          <w:t>www.opm.gov</w:t>
        </w:r>
      </w:hyperlink>
      <w:r w:rsidRPr="00CD6247">
        <w:rPr>
          <w:rFonts w:eastAsia="Calibri"/>
          <w:sz w:val="24"/>
          <w:szCs w:val="24"/>
        </w:rPr>
        <w:t>, but hard copies of the forms are not accepted.</w:t>
      </w:r>
      <w:r w:rsidRPr="00CD6247">
        <w:rPr>
          <w:rFonts w:eastAsia="Calibri"/>
          <w:sz w:val="24"/>
          <w:szCs w:val="24"/>
          <w:lang w:bidi="en-US"/>
        </w:rPr>
        <w:t>)</w:t>
      </w:r>
    </w:p>
    <w:p w:rsidR="004037D9" w:rsidRDefault="004037D9" w:rsidP="004037D9">
      <w:pPr>
        <w:pStyle w:val="List1"/>
        <w:rPr>
          <w:lang w:bidi="en-US"/>
        </w:rPr>
      </w:pPr>
      <w:r w:rsidRPr="00CD6247">
        <w:rPr>
          <w:lang w:bidi="en-US"/>
        </w:rPr>
        <w:t>(g)</w:t>
      </w:r>
      <w:r w:rsidR="004A034D" w:rsidRPr="00CD6247">
        <w:rPr>
          <w:lang w:bidi="en-US"/>
        </w:rPr>
        <w:t xml:space="preserve"> Required documentation, listed above in paragraphs (f) (1)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rsidR="004037D9" w:rsidRPr="00CD6247" w:rsidRDefault="004037D9" w:rsidP="004037D9">
      <w:pPr>
        <w:pStyle w:val="List1"/>
        <w:rPr>
          <w:lang w:bidi="en-US"/>
        </w:rPr>
      </w:pPr>
      <w:r w:rsidRPr="00CD6247">
        <w:rPr>
          <w:lang w:bidi="en-US"/>
        </w:rPr>
        <w:t>(h)</w:t>
      </w:r>
      <w:r w:rsidR="004A034D" w:rsidRPr="00CD6247">
        <w:rPr>
          <w:lang w:bidi="en-US"/>
        </w:rPr>
        <w:t xml:space="preserve">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 commence work on this effort until the investigation has been favorably adjudicated </w:t>
      </w:r>
      <w:r w:rsidR="004A034D" w:rsidRPr="00CD6247">
        <w:t>or the Contractor employee has been waived into the position pending completion of adjudication</w:t>
      </w:r>
      <w:r w:rsidR="004A034D" w:rsidRPr="00CD6247">
        <w:rPr>
          <w:lang w:bidi="en-US"/>
        </w:rPr>
        <w:t>. The DLA Intelligence Personnel Security Office will ensure that r</w:t>
      </w:r>
      <w:r w:rsidR="004A034D" w:rsidRPr="00CD6247">
        <w:t>esults of investigations will be sent by OPM t to the</w:t>
      </w:r>
      <w:r w:rsidR="004A034D" w:rsidRPr="00CD6247">
        <w:rPr>
          <w:lang w:val="en"/>
        </w:rPr>
        <w:t xml:space="preserve"> Department of Defense, Consolidated Adjudications Facility (DoD CAF) or DLA Intelligence Personnel Security Office.</w:t>
      </w:r>
    </w:p>
    <w:p w:rsidR="004037D9" w:rsidRPr="00CD6247" w:rsidRDefault="004037D9" w:rsidP="004037D9">
      <w:pPr>
        <w:pStyle w:val="List1"/>
        <w:rPr>
          <w:lang w:bidi="en-US"/>
        </w:rPr>
      </w:pPr>
      <w:r>
        <w:rPr>
          <w:lang w:bidi="en-US"/>
        </w:rPr>
        <w:t>(i)</w:t>
      </w:r>
      <w:r w:rsidR="004A034D">
        <w:rPr>
          <w:lang w:bidi="en-US"/>
        </w:rPr>
        <w:t xml:space="preserve"> </w:t>
      </w:r>
      <w:r w:rsidR="004A034D" w:rsidRPr="00CD6247">
        <w:rPr>
          <w:lang w:bidi="en-US"/>
        </w:rPr>
        <w:t xml:space="preserve">A waiver for IT level positions to allow assignment of an individual Contractor employee to commence work prior to completion of the investigation may be granted in emergency situations when it is determined that a delay would be harmful to national security. A request for waiver will be considered only after the Government is in receipt of the individual Contractor employee’s completed forms, the background investigation has been initiated and favorable FBI fingerprint check has been conducted. The request for a waiver must be approved by the Commander/Director or Deputy Commander/Director of the site. The cognizant DLA </w:t>
      </w:r>
      <w:r w:rsidR="004A034D" w:rsidRPr="00CD6247">
        <w:rPr>
          <w:lang w:val="en"/>
        </w:rPr>
        <w:t xml:space="preserve">Intelligence </w:t>
      </w:r>
      <w:r w:rsidR="004A034D" w:rsidRPr="00CD6247">
        <w:rPr>
          <w:lang w:bidi="en-US"/>
        </w:rPr>
        <w:t>Personnel Security Office reserves the right to determine whether a waiver request will be forwarded for processing. The individual Contractor employee for which the waiver is being requested may not be assigned to a position, that is, physically work at the Federally-controlled facility and/or be granted access to Federally-controlled information systems, until the waiver has been approved.</w:t>
      </w:r>
    </w:p>
    <w:p w:rsidR="004037D9" w:rsidRPr="00CD6247" w:rsidRDefault="004037D9" w:rsidP="004037D9">
      <w:pPr>
        <w:pStyle w:val="List1"/>
      </w:pPr>
      <w:r w:rsidRPr="00CD6247">
        <w:t>(j)</w:t>
      </w:r>
      <w:r w:rsidR="004A034D" w:rsidRPr="00CD6247">
        <w:t xml:space="preserve"> The requirements of this clause apply to the prime Contractor and any subcontractors the prime Contractor may employ during the course of this contract, as well as any temporary employees that may be hired by the Contractor. The Government retains the right to request removal of Contractor personnel, regardless of prior clearance or adjudication status whose actions, while assigned to this contract, who are determined by the Contracting Officer to conflict with the interests of the Government. If such removal occurs, the Contractor shall assign qualified personnel, with the required investigation, to any vacancy.</w:t>
      </w:r>
    </w:p>
    <w:p w:rsidR="004037D9" w:rsidRPr="00CD6247" w:rsidRDefault="004037D9" w:rsidP="004037D9">
      <w:pPr>
        <w:pStyle w:val="List1"/>
      </w:pPr>
      <w:r w:rsidRPr="00CD6247">
        <w:t>(k)</w:t>
      </w:r>
      <w:r w:rsidR="004A034D" w:rsidRPr="00CD6247">
        <w:t xml:space="preserve"> All Contractor personnel who are granted access to Government and/or Federally-controlled information systems shall observe all local automated information system (AIS) security policies and procedures. Violations of local AIS security policy, such as password sharing, performing personal work, file access violations, or browsing files outside the scope of the contract, will result in removal of the Contractor employee from Government property and referral to the Contractor for appropriate disciplinary action.  Actions taken by the Contractor in response to a violation will be evaluated and will be reflected in the Contractor’s performance assessment for use in making future source selection decisions. In addition, based on the nature and extent of any violations of AIS security policy, the Government will consider whether it needs to pursue any other actions under the contract such as a possible termination.</w:t>
      </w:r>
    </w:p>
    <w:p w:rsidR="004037D9" w:rsidRPr="00CD6247" w:rsidRDefault="004037D9" w:rsidP="004037D9">
      <w:pPr>
        <w:pStyle w:val="List1"/>
      </w:pPr>
      <w:r w:rsidRPr="00CD6247">
        <w:t>(l)</w:t>
      </w:r>
      <w:r w:rsidR="004A034D" w:rsidRPr="00CD6247">
        <w:t xml:space="preserve"> The Contractor may also be required to obtain a Common Access Card (CAC) or Installation Access Badge for each Contractor employee in accordance with procedures established by DLA. When a CAC is required, the Contracting Officer will ensure that the Contractor follows the requirements of Homeland Security Presidential Directive 12 and any other CAC-related requirements in the contract. The Contractor shall provide, on a monthly basis, a listing of all personnel working under the contract that have CACs.</w:t>
      </w:r>
    </w:p>
    <w:p w:rsidR="004037D9" w:rsidRPr="00CD6247" w:rsidRDefault="004037D9" w:rsidP="004037D9">
      <w:pPr>
        <w:pStyle w:val="List1"/>
      </w:pPr>
      <w:r w:rsidRPr="00CD6247">
        <w:t>(</w:t>
      </w:r>
      <w:r>
        <w:t>m)</w:t>
      </w:r>
      <w:r w:rsidR="004A034D">
        <w:t xml:space="preserve"> </w:t>
      </w:r>
      <w:r w:rsidR="004A034D" w:rsidRPr="00CD6247">
        <w:t>Contractor personnel must additionally receive operations security (OPSEC) and information security (INFOSEC) awareness training. The DLA annual OPSEC refresher training and DLA annual INFOSEC training will satisfy these requirements and are available through the DLA Intelligence Office.</w:t>
      </w:r>
    </w:p>
    <w:p w:rsidR="004037D9" w:rsidRPr="00CD6247" w:rsidRDefault="004037D9" w:rsidP="004037D9">
      <w:pPr>
        <w:pStyle w:val="List1"/>
      </w:pPr>
      <w:r w:rsidRPr="00CD6247">
        <w:t>(n)</w:t>
      </w:r>
      <w:r w:rsidR="004A034D" w:rsidRPr="00CD6247">
        <w:t xml:space="preserve"> When a Contractor employee who has been granted a clearance is removed from the contract, the Contractor shall provide an appropriately trained substitute who has met or will meet the investigative requirements of this clause. The substitute may not begin work on the contract without written documentation, signed by the Contracting Officer, stating that the new Contractor employee has met one of the criteria set forth in paragraphs (c), (d), or (i) of this clause,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rsidR="004037D9" w:rsidRPr="00CD6247" w:rsidRDefault="004037D9" w:rsidP="004037D9">
      <w:pPr>
        <w:pStyle w:val="List1"/>
      </w:pPr>
      <w:r w:rsidRPr="00CD6247">
        <w:t>(o)</w:t>
      </w:r>
      <w:r w:rsidR="004A034D">
        <w:t xml:space="preserve"> </w:t>
      </w:r>
      <w:r w:rsidR="004A034D" w:rsidRPr="00CD6247">
        <w:t>The following shall be completed for every employee of the Government Contractor working on this cont</w:t>
      </w:r>
      <w:r w:rsidR="004A034D">
        <w:t xml:space="preserve">ract upon contract expiration. </w:t>
      </w:r>
      <w:r w:rsidR="004A034D" w:rsidRPr="00CD6247">
        <w:t xml:space="preserve">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w:t>
      </w:r>
      <w:r w:rsidR="004A034D" w:rsidRPr="00CD6247">
        <w:rPr>
          <w:lang w:val="en"/>
        </w:rPr>
        <w:t>Intelligence</w:t>
      </w:r>
      <w:r w:rsidR="004A034D" w:rsidRPr="00CD6247">
        <w:t xml:space="preserv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rsidR="004037D9" w:rsidRPr="00CD6247" w:rsidRDefault="004037D9" w:rsidP="004037D9">
      <w:pPr>
        <w:pStyle w:val="List1"/>
      </w:pPr>
      <w:r w:rsidRPr="00CD6247">
        <w:t>(p)</w:t>
      </w:r>
      <w:r w:rsidR="004A034D" w:rsidRPr="00CD6247">
        <w:t xml:space="preserve">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 </w:t>
      </w:r>
    </w:p>
    <w:p w:rsidR="004A034D" w:rsidRPr="00CD6247" w:rsidRDefault="004037D9" w:rsidP="004037D9">
      <w:pPr>
        <w:pStyle w:val="List1"/>
      </w:pPr>
      <w:r w:rsidRPr="00CD6247">
        <w:t>(q)</w:t>
      </w:r>
      <w:r w:rsidR="004A034D" w:rsidRPr="00CD6247">
        <w:t xml:space="preserve"> The Contractor shall not bill for personnel, who are not working on the contract while that Contractor employee’s clearance investigation is pending.</w:t>
      </w:r>
    </w:p>
    <w:p w:rsidR="004A034D" w:rsidRPr="00CD6247" w:rsidRDefault="004A034D" w:rsidP="00284211">
      <w:pPr>
        <w:spacing w:after="240"/>
        <w:jc w:val="center"/>
        <w:rPr>
          <w:sz w:val="24"/>
          <w:szCs w:val="24"/>
        </w:rPr>
      </w:pPr>
      <w:r w:rsidRPr="00CD6247">
        <w:rPr>
          <w:sz w:val="24"/>
          <w:szCs w:val="24"/>
        </w:rPr>
        <w:t>(End of Clause)</w:t>
      </w:r>
    </w:p>
    <w:p w:rsidR="004A034D" w:rsidRPr="005C4F13" w:rsidRDefault="004A034D" w:rsidP="00D47B39">
      <w:pPr>
        <w:pStyle w:val="Heading3"/>
        <w:rPr>
          <w:rFonts w:eastAsia="Calibri"/>
          <w:sz w:val="24"/>
          <w:szCs w:val="24"/>
        </w:rPr>
      </w:pPr>
      <w:bookmarkStart w:id="5" w:name="P52_211_9049"/>
      <w:bookmarkStart w:id="6" w:name="P52_232_9006"/>
      <w:bookmarkEnd w:id="4"/>
      <w:bookmarkEnd w:id="5"/>
      <w:r w:rsidRPr="005C4F13">
        <w:rPr>
          <w:rFonts w:eastAsia="Calibri"/>
          <w:sz w:val="24"/>
          <w:szCs w:val="24"/>
        </w:rPr>
        <w:t>52.232-9006</w:t>
      </w:r>
      <w:bookmarkEnd w:id="6"/>
      <w:r w:rsidRPr="005C4F13">
        <w:rPr>
          <w:rFonts w:eastAsia="Calibri"/>
          <w:sz w:val="24"/>
          <w:szCs w:val="24"/>
        </w:rPr>
        <w:t xml:space="preserve"> Transporter proof of delivery (TPD).</w:t>
      </w:r>
    </w:p>
    <w:p w:rsidR="004A034D" w:rsidRPr="005C4F13" w:rsidRDefault="004A034D" w:rsidP="002B77BC">
      <w:pPr>
        <w:spacing w:after="240"/>
        <w:rPr>
          <w:rFonts w:eastAsia="Calibri"/>
          <w:sz w:val="24"/>
          <w:szCs w:val="24"/>
        </w:rPr>
      </w:pPr>
      <w:r w:rsidRPr="005C4F13">
        <w:rPr>
          <w:rFonts w:eastAsia="Calibri"/>
          <w:sz w:val="24"/>
          <w:szCs w:val="24"/>
        </w:rPr>
        <w:t xml:space="preserve">As prescribed in </w:t>
      </w:r>
      <w:hyperlink w:anchor="P32_908_94" w:history="1">
        <w:r w:rsidRPr="005C4F13">
          <w:rPr>
            <w:rStyle w:val="Hyperlink"/>
            <w:rFonts w:eastAsia="Calibri"/>
            <w:sz w:val="24"/>
            <w:szCs w:val="24"/>
          </w:rPr>
          <w:t>32.908-94</w:t>
        </w:r>
      </w:hyperlink>
      <w:r w:rsidRPr="005C4F13">
        <w:rPr>
          <w:rFonts w:eastAsia="Calibri"/>
          <w:sz w:val="24"/>
          <w:szCs w:val="24"/>
        </w:rPr>
        <w:t>, insert the following clause:</w:t>
      </w:r>
    </w:p>
    <w:p w:rsidR="004037D9" w:rsidRPr="00AA3728" w:rsidRDefault="004A034D" w:rsidP="004F3E26">
      <w:pPr>
        <w:jc w:val="center"/>
        <w:rPr>
          <w:rFonts w:eastAsia="Calibri"/>
          <w:sz w:val="24"/>
          <w:szCs w:val="24"/>
        </w:rPr>
      </w:pPr>
      <w:r w:rsidRPr="00AA3728">
        <w:rPr>
          <w:rFonts w:eastAsia="Calibri"/>
          <w:sz w:val="24"/>
          <w:szCs w:val="24"/>
        </w:rPr>
        <w:t>TRANSPORTER PROOF OF DELIVERY (TPD) (APR 2013)</w:t>
      </w:r>
    </w:p>
    <w:p w:rsidR="004037D9" w:rsidRPr="005E7397" w:rsidRDefault="004037D9" w:rsidP="004037D9">
      <w:pPr>
        <w:pStyle w:val="List1"/>
      </w:pPr>
      <w:r w:rsidRPr="005E7397">
        <w:t>(a)</w:t>
      </w:r>
      <w:r w:rsidR="004A034D" w:rsidRPr="005E7397">
        <w:t xml:space="preserve"> Definition.</w:t>
      </w:r>
      <w:r w:rsidR="004A034D" w:rsidRPr="005E7397">
        <w:rPr>
          <w:i/>
        </w:rPr>
        <w:t xml:space="preserve"> </w:t>
      </w:r>
      <w:r w:rsidR="004A034D" w:rsidRPr="005E7397">
        <w:t>As used in this clause,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004A034D" w:rsidRPr="005E7397">
        <w:rPr>
          <w:spacing w:val="-1"/>
        </w:rPr>
        <w:t>e</w:t>
      </w:r>
      <w:r w:rsidR="004A034D" w:rsidRPr="005E7397">
        <w:t>ports. TPD documentation must include a customer signature, or visibility of the name of the customer who signed.</w:t>
      </w:r>
    </w:p>
    <w:p w:rsidR="004037D9" w:rsidRPr="005E7397" w:rsidRDefault="004037D9" w:rsidP="004037D9">
      <w:pPr>
        <w:pStyle w:val="List1"/>
      </w:pPr>
      <w:r w:rsidRPr="005E7397">
        <w:t>(b)</w:t>
      </w:r>
      <w:r w:rsidR="004A034D" w:rsidRPr="005E7397">
        <w:t xml:space="preserve"> When this clause is included in the contract or order,</w:t>
      </w:r>
      <w:r w:rsidR="004A034D" w:rsidRPr="005E7397">
        <w:rPr>
          <w:spacing w:val="-1"/>
        </w:rPr>
        <w:t xml:space="preserve"> </w:t>
      </w:r>
      <w:r w:rsidR="004A034D" w:rsidRPr="005E7397">
        <w:t>the Government may use TPD, in combination with adequate Contractor documentation cros</w:t>
      </w:r>
      <w:r w:rsidR="004A034D" w:rsidRPr="005E7397">
        <w:rPr>
          <w:spacing w:val="-1"/>
        </w:rPr>
        <w:t>s</w:t>
      </w:r>
      <w:r w:rsidR="004A034D" w:rsidRPr="005E7397">
        <w:t>-referencing the TPD to the specific supplies provided, as</w:t>
      </w:r>
      <w:r w:rsidR="004A034D" w:rsidRPr="005E7397">
        <w:rPr>
          <w:spacing w:val="-1"/>
        </w:rPr>
        <w:t xml:space="preserve"> </w:t>
      </w:r>
      <w:r w:rsidR="004A034D" w:rsidRPr="005E7397">
        <w:t xml:space="preserve">a basis for accepting </w:t>
      </w:r>
      <w:r w:rsidR="004A034D" w:rsidRPr="005E7397">
        <w:rPr>
          <w:spacing w:val="-1"/>
        </w:rPr>
        <w:t>t</w:t>
      </w:r>
      <w:r w:rsidR="004A034D" w:rsidRPr="005E7397">
        <w:t>he supplies. TPD with adequate supporting documentation satisfies the r</w:t>
      </w:r>
      <w:r w:rsidR="004A034D" w:rsidRPr="005E7397">
        <w:rPr>
          <w:spacing w:val="-1"/>
        </w:rPr>
        <w:t>e</w:t>
      </w:r>
      <w:r w:rsidR="004A034D" w:rsidRPr="005E7397">
        <w:t>ceipt report requirement a</w:t>
      </w:r>
      <w:r w:rsidR="004A034D" w:rsidRPr="005E7397">
        <w:rPr>
          <w:spacing w:val="-1"/>
        </w:rPr>
        <w:t>n</w:t>
      </w:r>
      <w:r w:rsidR="004A034D" w:rsidRPr="005E7397">
        <w:t xml:space="preserve">d, coupled with acceptance, allows the Government to initiate the </w:t>
      </w:r>
      <w:r w:rsidR="004A034D" w:rsidRPr="005E7397">
        <w:rPr>
          <w:spacing w:val="-1"/>
        </w:rPr>
        <w:t>p</w:t>
      </w:r>
      <w:r w:rsidR="004A034D" w:rsidRPr="005E7397">
        <w:t>ayment process, if all other applicable payment condi</w:t>
      </w:r>
      <w:r w:rsidR="004A034D" w:rsidRPr="005E7397">
        <w:rPr>
          <w:spacing w:val="-1"/>
        </w:rPr>
        <w:t>t</w:t>
      </w:r>
      <w:r w:rsidR="004A034D" w:rsidRPr="005E7397">
        <w:t>ions are satisfied.</w:t>
      </w:r>
    </w:p>
    <w:p w:rsidR="004037D9" w:rsidRPr="005E7397" w:rsidRDefault="004037D9" w:rsidP="004037D9">
      <w:pPr>
        <w:pStyle w:val="List1"/>
      </w:pPr>
      <w:r w:rsidRPr="005E7397">
        <w:t>(c)</w:t>
      </w:r>
      <w:r w:rsidR="004A034D" w:rsidRPr="005E7397">
        <w:t xml:space="preserve">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rsidR="004037D9" w:rsidRPr="005E7397" w:rsidRDefault="004A034D" w:rsidP="004037D9">
      <w:pPr>
        <w:pStyle w:val="List2"/>
      </w:pPr>
      <w:r w:rsidRPr="005E7397">
        <w:t>(1) Contract num</w:t>
      </w:r>
      <w:r w:rsidRPr="005E7397">
        <w:rPr>
          <w:spacing w:val="-1"/>
        </w:rPr>
        <w:t>b</w:t>
      </w:r>
      <w:r w:rsidRPr="005E7397">
        <w:t>er or order number;</w:t>
      </w:r>
    </w:p>
    <w:p w:rsidR="004037D9" w:rsidRPr="00CD6247" w:rsidRDefault="004A034D" w:rsidP="004037D9">
      <w:pPr>
        <w:pStyle w:val="List2"/>
      </w:pPr>
      <w:r w:rsidRPr="00CD6247">
        <w:t>(2) Contract line item number (CLIN);</w:t>
      </w:r>
    </w:p>
    <w:p w:rsidR="004037D9" w:rsidRPr="00CD6247" w:rsidRDefault="004A034D" w:rsidP="004037D9">
      <w:pPr>
        <w:pStyle w:val="List2"/>
      </w:pPr>
      <w:r w:rsidRPr="00CD6247">
        <w:t>(3) Unit price;</w:t>
      </w:r>
    </w:p>
    <w:p w:rsidR="004037D9" w:rsidRPr="00CD6247" w:rsidRDefault="004A034D" w:rsidP="004037D9">
      <w:pPr>
        <w:pStyle w:val="List2"/>
      </w:pPr>
      <w:r w:rsidRPr="00CD6247">
        <w:t>(4) Quantity of items;</w:t>
      </w:r>
    </w:p>
    <w:p w:rsidR="004037D9" w:rsidRPr="00CD6247" w:rsidRDefault="004A034D" w:rsidP="004037D9">
      <w:pPr>
        <w:pStyle w:val="List2"/>
      </w:pPr>
      <w:r w:rsidRPr="00CD6247">
        <w:t>(5) Extended p</w:t>
      </w:r>
      <w:r w:rsidRPr="00CD6247">
        <w:rPr>
          <w:spacing w:val="-1"/>
        </w:rPr>
        <w:t>r</w:t>
      </w:r>
      <w:r w:rsidRPr="00CD6247">
        <w:t>ice;</w:t>
      </w:r>
    </w:p>
    <w:p w:rsidR="004037D9" w:rsidRPr="00CD6247" w:rsidRDefault="004A034D" w:rsidP="004037D9">
      <w:pPr>
        <w:pStyle w:val="List2"/>
      </w:pPr>
      <w:r w:rsidRPr="00CD6247">
        <w:t>(6) National stock number (NSN);</w:t>
      </w:r>
    </w:p>
    <w:p w:rsidR="004037D9" w:rsidRPr="00CD6247" w:rsidRDefault="004A034D" w:rsidP="004037D9">
      <w:pPr>
        <w:pStyle w:val="List2"/>
      </w:pPr>
      <w:r w:rsidRPr="00CD6247">
        <w:t>(7) Delivery dat</w:t>
      </w:r>
      <w:r w:rsidRPr="00CD6247">
        <w:rPr>
          <w:spacing w:val="-1"/>
        </w:rPr>
        <w:t>e</w:t>
      </w:r>
      <w:r w:rsidRPr="00CD6247">
        <w:t>;</w:t>
      </w:r>
    </w:p>
    <w:p w:rsidR="004037D9" w:rsidRPr="00CD6247" w:rsidRDefault="004A034D" w:rsidP="004037D9">
      <w:pPr>
        <w:pStyle w:val="List2"/>
      </w:pPr>
      <w:r w:rsidRPr="00CD6247">
        <w:t>(8) Recipient o</w:t>
      </w:r>
      <w:r w:rsidRPr="00CD6247">
        <w:rPr>
          <w:spacing w:val="-1"/>
        </w:rPr>
        <w:t>r</w:t>
      </w:r>
      <w:r w:rsidRPr="00CD6247">
        <w:t>ganization's name and address;</w:t>
      </w:r>
    </w:p>
    <w:p w:rsidR="004037D9" w:rsidRPr="00CD6247" w:rsidRDefault="004A034D" w:rsidP="004037D9">
      <w:pPr>
        <w:pStyle w:val="List2"/>
      </w:pPr>
      <w:r w:rsidRPr="00CD6247">
        <w:t>(9) Receiving activity Department of Defense activity address code (DoDAAC);</w:t>
      </w:r>
    </w:p>
    <w:p w:rsidR="004037D9" w:rsidRPr="00CD6247" w:rsidRDefault="004A034D" w:rsidP="004037D9">
      <w:pPr>
        <w:pStyle w:val="List2"/>
      </w:pPr>
      <w:r w:rsidRPr="00CD6247">
        <w:t>(10) Requisition document number (and suffix, when applicable);</w:t>
      </w:r>
    </w:p>
    <w:p w:rsidR="004037D9" w:rsidRPr="00CD6247" w:rsidRDefault="004A034D" w:rsidP="004037D9">
      <w:pPr>
        <w:pStyle w:val="List2"/>
      </w:pPr>
      <w:r w:rsidRPr="00CD6247">
        <w:t>(11) Shipment number;</w:t>
      </w:r>
    </w:p>
    <w:p w:rsidR="004037D9" w:rsidRPr="00CD6247" w:rsidRDefault="004A034D" w:rsidP="004037D9">
      <w:pPr>
        <w:pStyle w:val="List2"/>
      </w:pPr>
      <w:r w:rsidRPr="00CD6247">
        <w:t>(12) Invoice number; and</w:t>
      </w:r>
    </w:p>
    <w:p w:rsidR="004037D9" w:rsidRPr="00CD6247" w:rsidRDefault="004A034D" w:rsidP="004037D9">
      <w:pPr>
        <w:pStyle w:val="List2"/>
      </w:pPr>
      <w:r w:rsidRPr="00CD6247">
        <w:t xml:space="preserve">(13) Location where the carrier made delivery (activity name, building number, city, state).  </w:t>
      </w:r>
    </w:p>
    <w:p w:rsidR="004037D9" w:rsidRPr="00AA3728" w:rsidRDefault="004037D9" w:rsidP="004037D9">
      <w:pPr>
        <w:pStyle w:val="List1"/>
      </w:pPr>
      <w:r w:rsidRPr="00AA3728">
        <w:t>(d)</w:t>
      </w:r>
      <w:r w:rsidR="004A034D" w:rsidRPr="00AA3728">
        <w:t xml:space="preserve"> Process for submitting TPD documentation.</w:t>
      </w:r>
    </w:p>
    <w:p w:rsidR="004037D9" w:rsidRPr="00CD6247" w:rsidRDefault="004A034D" w:rsidP="004037D9">
      <w:pPr>
        <w:pStyle w:val="List2"/>
      </w:pPr>
      <w:r w:rsidRPr="00CD6247">
        <w:t>(1) Enter wide area workflow (WAWF) using the ``history folder,'' enter the appropriate</w:t>
      </w:r>
      <w:r w:rsidRPr="00CD6247">
        <w:rPr>
          <w:spacing w:val="-1"/>
        </w:rPr>
        <w:t xml:space="preserve"> </w:t>
      </w:r>
      <w:r w:rsidRPr="00CD6247">
        <w:t>contract data, and recall the receiving report (RR);</w:t>
      </w:r>
    </w:p>
    <w:p w:rsidR="004037D9" w:rsidRPr="00CD6247" w:rsidRDefault="004A034D" w:rsidP="004037D9">
      <w:pPr>
        <w:pStyle w:val="List2"/>
      </w:pPr>
      <w:r w:rsidRPr="00CD6247">
        <w:t>(2) Click on “attachment.” Browse and upload the TPD and any additional Contractor documentation required to provide the information identified in paragraph (c) of this clause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rsidR="004037D9" w:rsidRPr="00CD6247" w:rsidRDefault="004A034D" w:rsidP="004037D9">
      <w:pPr>
        <w:pStyle w:val="List2"/>
      </w:pPr>
      <w:r w:rsidRPr="00CD6247">
        <w:t>(3) Click on “submit.”</w:t>
      </w:r>
    </w:p>
    <w:p w:rsidR="004037D9" w:rsidRPr="00CD6247" w:rsidRDefault="004037D9" w:rsidP="004037D9">
      <w:pPr>
        <w:pStyle w:val="List1"/>
      </w:pPr>
      <w:r w:rsidRPr="00CD6247">
        <w:t>(e)</w:t>
      </w:r>
      <w:r w:rsidR="004A034D" w:rsidRPr="00CD6247">
        <w:t xml:space="preserve"> Responsibility for supplies.</w:t>
      </w:r>
    </w:p>
    <w:p w:rsidR="004037D9" w:rsidRPr="00CD6247" w:rsidRDefault="004A034D" w:rsidP="004037D9">
      <w:pPr>
        <w:pStyle w:val="List2"/>
      </w:pPr>
      <w:r w:rsidRPr="00CD6247">
        <w:t>(1) Title to the supplies passes to the Government after delivery to the point of first receipt by the Government and subsequent acceptance.</w:t>
      </w:r>
    </w:p>
    <w:p w:rsidR="004037D9" w:rsidRPr="00CD6247" w:rsidRDefault="004A034D" w:rsidP="004037D9">
      <w:pPr>
        <w:pStyle w:val="List2"/>
      </w:pPr>
      <w:r w:rsidRPr="00CD6247">
        <w:t>(2) Notwithstanding any other provision of the contract, order, or blanket purchase agreement, the Contractor shall:</w:t>
      </w:r>
    </w:p>
    <w:p w:rsidR="004037D9" w:rsidRPr="00CD6247" w:rsidRDefault="004A034D" w:rsidP="004037D9">
      <w:pPr>
        <w:pStyle w:val="List3"/>
      </w:pPr>
      <w:r w:rsidRPr="00CD6247">
        <w:t>(i) Assume all responsibility and risk of loss for supplies not received at destination, damaged in transit, or not conforming to purchase requirements; and</w:t>
      </w:r>
      <w:bookmarkStart w:id="7" w:name="_GoBack"/>
      <w:bookmarkEnd w:id="7"/>
    </w:p>
    <w:p w:rsidR="004A034D" w:rsidRPr="00CD6247" w:rsidRDefault="004A034D" w:rsidP="004037D9">
      <w:pPr>
        <w:pStyle w:val="List3"/>
      </w:pPr>
      <w:r w:rsidRPr="00CD6247">
        <w:t>(ii) Replace, repair, or correct those supplies promptly at the Contractor’s expense, if instructed to do so by the Contracting Officer within 180 days from the date title to the supplies vests in the Government.</w:t>
      </w:r>
    </w:p>
    <w:p w:rsidR="004A034D" w:rsidRPr="00CD6247" w:rsidRDefault="004A034D" w:rsidP="00922939">
      <w:pPr>
        <w:spacing w:after="240"/>
        <w:jc w:val="center"/>
        <w:rPr>
          <w:rFonts w:eastAsia="Calibri"/>
          <w:sz w:val="24"/>
          <w:szCs w:val="24"/>
        </w:rPr>
      </w:pPr>
      <w:r w:rsidRPr="00CD6247">
        <w:rPr>
          <w:rFonts w:eastAsia="Calibri"/>
          <w:sz w:val="24"/>
          <w:szCs w:val="24"/>
        </w:rPr>
        <w:t>(End of Clause)</w:t>
      </w:r>
    </w:p>
    <w:p w:rsidR="004A034D" w:rsidRPr="005C4F13" w:rsidRDefault="004A034D" w:rsidP="00045233">
      <w:pPr>
        <w:pStyle w:val="Heading3"/>
        <w:rPr>
          <w:sz w:val="24"/>
          <w:szCs w:val="24"/>
        </w:rPr>
      </w:pPr>
      <w:bookmarkStart w:id="8" w:name="_52.246-9085__Production"/>
      <w:bookmarkStart w:id="9" w:name="_52.246-9086__Production"/>
      <w:bookmarkStart w:id="10" w:name="P52_233_9001"/>
      <w:bookmarkEnd w:id="8"/>
      <w:bookmarkEnd w:id="9"/>
      <w:r>
        <w:rPr>
          <w:sz w:val="24"/>
          <w:szCs w:val="24"/>
        </w:rPr>
        <w:t>54</w:t>
      </w:r>
      <w:r w:rsidRPr="005C4F13">
        <w:rPr>
          <w:sz w:val="24"/>
          <w:szCs w:val="24"/>
        </w:rPr>
        <w:t>52.233-9001 Disputes – Agreement to Use Alternative Dispute Resolution (ADR).</w:t>
      </w:r>
    </w:p>
    <w:bookmarkEnd w:id="10"/>
    <w:p w:rsidR="004A034D" w:rsidRPr="00CD6247" w:rsidRDefault="004A034D" w:rsidP="00922939">
      <w:pPr>
        <w:spacing w:after="240"/>
        <w:rPr>
          <w:color w:val="000000" w:themeColor="text1"/>
          <w:sz w:val="24"/>
          <w:szCs w:val="24"/>
        </w:rPr>
      </w:pPr>
      <w:r w:rsidRPr="00CD6247">
        <w:rPr>
          <w:color w:val="000000" w:themeColor="text1"/>
          <w:sz w:val="24"/>
          <w:szCs w:val="24"/>
        </w:rPr>
        <w:t xml:space="preserve">As prescribed in </w:t>
      </w:r>
      <w:hyperlink w:anchor="P33_214" w:history="1">
        <w:r w:rsidRPr="00CD6247">
          <w:rPr>
            <w:rStyle w:val="Hyperlink"/>
            <w:sz w:val="24"/>
            <w:szCs w:val="24"/>
          </w:rPr>
          <w:t>33.214</w:t>
        </w:r>
      </w:hyperlink>
      <w:r w:rsidRPr="00CD6247">
        <w:rPr>
          <w:color w:val="000000" w:themeColor="text1"/>
          <w:sz w:val="24"/>
          <w:szCs w:val="24"/>
        </w:rPr>
        <w:t>, insert the following provision:</w:t>
      </w:r>
    </w:p>
    <w:p w:rsidR="004037D9" w:rsidRPr="00CD6247" w:rsidRDefault="004A034D" w:rsidP="004F3E26">
      <w:pPr>
        <w:jc w:val="center"/>
        <w:rPr>
          <w:rFonts w:eastAsia="Calibri"/>
          <w:sz w:val="24"/>
          <w:szCs w:val="24"/>
        </w:rPr>
      </w:pPr>
      <w:r w:rsidRPr="00CD6247">
        <w:rPr>
          <w:sz w:val="24"/>
          <w:szCs w:val="24"/>
        </w:rPr>
        <w:t xml:space="preserve">DISPUTES – AGREEMENT TO USE ALTERNATIVE DISPUTE RESOLUTION </w:t>
      </w:r>
      <w:r w:rsidRPr="00CD6247">
        <w:rPr>
          <w:rFonts w:eastAsia="Calibri"/>
          <w:sz w:val="24"/>
          <w:szCs w:val="24"/>
        </w:rPr>
        <w:t>(</w:t>
      </w:r>
      <w:r>
        <w:rPr>
          <w:rFonts w:eastAsia="Calibri"/>
          <w:sz w:val="24"/>
          <w:szCs w:val="24"/>
        </w:rPr>
        <w:t>JUN 2020</w:t>
      </w:r>
      <w:r w:rsidRPr="00CD6247">
        <w:rPr>
          <w:rFonts w:eastAsia="Calibri"/>
          <w:sz w:val="24"/>
          <w:szCs w:val="24"/>
        </w:rPr>
        <w:t>)</w:t>
      </w:r>
    </w:p>
    <w:p w:rsidR="004037D9" w:rsidRPr="00CD6247" w:rsidRDefault="004037D9" w:rsidP="004037D9">
      <w:pPr>
        <w:pStyle w:val="List1"/>
      </w:pPr>
      <w:r w:rsidRPr="00CD6247">
        <w:rPr>
          <w:color w:val="000000" w:themeColor="text1"/>
        </w:rPr>
        <w:t>(a)</w:t>
      </w:r>
      <w:r w:rsidR="004A034D" w:rsidRPr="00CD6247">
        <w:rPr>
          <w:color w:val="000000" w:themeColor="text1"/>
        </w:rPr>
        <w:t xml:space="preserve">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rsidR="004037D9" w:rsidRPr="00CD6247" w:rsidRDefault="004037D9" w:rsidP="004037D9">
      <w:pPr>
        <w:pStyle w:val="List1"/>
      </w:pPr>
      <w:r w:rsidRPr="00CD6247">
        <w:rPr>
          <w:color w:val="000000" w:themeColor="text1"/>
        </w:rPr>
        <w:t>(b)</w:t>
      </w:r>
      <w:r w:rsidR="004A034D" w:rsidRPr="00CD6247">
        <w:rPr>
          <w:color w:val="000000" w:themeColor="text1"/>
        </w:rPr>
        <w:t xml:space="preserve">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rsidR="004A034D" w:rsidRPr="00CD6247" w:rsidRDefault="004037D9" w:rsidP="004037D9">
      <w:pPr>
        <w:pStyle w:val="List1"/>
      </w:pPr>
      <w:r w:rsidRPr="00CD6247">
        <w:rPr>
          <w:color w:val="000000" w:themeColor="text1"/>
        </w:rPr>
        <w:t>(c)</w:t>
      </w:r>
      <w:r w:rsidR="004A034D" w:rsidRPr="00CD6247">
        <w:rPr>
          <w:color w:val="000000" w:themeColor="text1"/>
        </w:rPr>
        <w:t xml:space="preserve"> If you wish to opt out of this clause, </w:t>
      </w:r>
      <w:r w:rsidR="004A034D" w:rsidRPr="007F45DC">
        <w:rPr>
          <w:color w:val="000000" w:themeColor="text1"/>
        </w:rPr>
        <w:t>check here [ ]. Alternate wording may be negotiated with the contracting officer.</w:t>
      </w:r>
    </w:p>
    <w:p w:rsidR="004A034D" w:rsidRPr="00CD6247" w:rsidRDefault="004A034D" w:rsidP="004F3E26">
      <w:pPr>
        <w:jc w:val="center"/>
        <w:rPr>
          <w:color w:val="000000" w:themeColor="text1"/>
          <w:sz w:val="24"/>
          <w:szCs w:val="24"/>
        </w:rPr>
      </w:pPr>
      <w:r w:rsidRPr="00CD6247">
        <w:rPr>
          <w:color w:val="000000" w:themeColor="text1"/>
          <w:sz w:val="24"/>
          <w:szCs w:val="24"/>
        </w:rPr>
        <w:t>(End of Provision)</w:t>
      </w:r>
    </w:p>
    <w:p w:rsidR="004A034D" w:rsidRPr="00CD6247" w:rsidRDefault="004A034D" w:rsidP="00E72D89">
      <w:pPr>
        <w:rPr>
          <w:sz w:val="24"/>
          <w:szCs w:val="24"/>
        </w:rPr>
      </w:pPr>
    </w:p>
    <w:p w:rsidR="004A034D" w:rsidRPr="00725A06" w:rsidRDefault="004A034D" w:rsidP="00E72D89">
      <w:pPr>
        <w:rPr>
          <w:sz w:val="21"/>
          <w:szCs w:val="21"/>
        </w:rPr>
        <w:sectPr w:rsidR="004A034D" w:rsidRPr="00725A06" w:rsidSect="00FF4E5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34D" w:rsidRDefault="004A034D" w:rsidP="00926910">
      <w:r>
        <w:separator/>
      </w:r>
    </w:p>
    <w:p w:rsidR="004A034D" w:rsidRDefault="004A034D"/>
    <w:p w:rsidR="004A034D" w:rsidRDefault="004A034D"/>
  </w:endnote>
  <w:endnote w:type="continuationSeparator" w:id="0">
    <w:p w:rsidR="004A034D" w:rsidRDefault="004A034D" w:rsidP="00926910">
      <w:r>
        <w:continuationSeparator/>
      </w:r>
    </w:p>
    <w:p w:rsidR="004A034D" w:rsidRDefault="004A034D"/>
    <w:p w:rsidR="004A034D" w:rsidRDefault="004A03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34D" w:rsidRPr="00ED230D" w:rsidRDefault="004A034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238</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34D" w:rsidRPr="00ED230D" w:rsidRDefault="004A034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34D" w:rsidRPr="00B619EF" w:rsidRDefault="004A034D">
    <w:pPr>
      <w:pStyle w:val="Footer"/>
      <w:rPr>
        <w:b/>
        <w:sz w:val="24"/>
        <w:szCs w:val="24"/>
      </w:rPr>
    </w:pPr>
    <w:r>
      <w:rPr>
        <w:b/>
        <w:sz w:val="24"/>
        <w:szCs w:val="24"/>
      </w:rPr>
      <w:t xml:space="preserve">October </w:t>
    </w:r>
    <w:r w:rsidRPr="00B619EF">
      <w:rPr>
        <w:b/>
        <w:sz w:val="24"/>
        <w:szCs w:val="24"/>
      </w:rPr>
      <w:t>2020</w:t>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fldChar w:fldCharType="begin"/>
    </w:r>
    <w:r w:rsidRPr="00B619EF">
      <w:rPr>
        <w:b/>
        <w:sz w:val="24"/>
        <w:szCs w:val="24"/>
      </w:rPr>
      <w:instrText xml:space="preserve"> PAGE   \* MERGEFORMAT </w:instrText>
    </w:r>
    <w:r w:rsidRPr="00B619EF">
      <w:rPr>
        <w:b/>
        <w:sz w:val="24"/>
        <w:szCs w:val="24"/>
      </w:rPr>
      <w:fldChar w:fldCharType="separate"/>
    </w:r>
    <w:r>
      <w:rPr>
        <w:b/>
        <w:noProof/>
        <w:sz w:val="24"/>
        <w:szCs w:val="24"/>
      </w:rPr>
      <w:t>222</w:t>
    </w:r>
    <w:r w:rsidRPr="00B619EF">
      <w:rPr>
        <w:b/>
        <w:noProof/>
        <w:sz w:val="24"/>
        <w:szCs w:val="24"/>
      </w:rPr>
      <w:fldChar w:fldCharType="end"/>
    </w:r>
    <w:r w:rsidRPr="00B619EF">
      <w:rPr>
        <w:b/>
        <w:sz w:val="24"/>
        <w:szCs w:val="24"/>
      </w:rPr>
      <w:tab/>
    </w:r>
    <w:r w:rsidRPr="00B619EF">
      <w:rPr>
        <w:b/>
        <w:sz w:val="24"/>
        <w:szCs w:val="24"/>
      </w:rPr>
      <w:tab/>
    </w:r>
    <w:r w:rsidRPr="00B619EF">
      <w:rPr>
        <w:b/>
        <w:sz w:val="24"/>
        <w:szCs w:val="24"/>
      </w:rPr>
      <w:tab/>
    </w:r>
    <w:r w:rsidRPr="00B619EF">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34D" w:rsidRDefault="004A034D" w:rsidP="00926910">
      <w:r>
        <w:separator/>
      </w:r>
    </w:p>
    <w:p w:rsidR="004A034D" w:rsidRDefault="004A034D"/>
    <w:p w:rsidR="004A034D" w:rsidRDefault="004A034D"/>
  </w:footnote>
  <w:footnote w:type="continuationSeparator" w:id="0">
    <w:p w:rsidR="004A034D" w:rsidRDefault="004A034D" w:rsidP="00926910">
      <w:r>
        <w:continuationSeparator/>
      </w:r>
    </w:p>
    <w:p w:rsidR="004A034D" w:rsidRDefault="004A034D"/>
    <w:p w:rsidR="004A034D" w:rsidRDefault="004A03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34D" w:rsidRPr="000D4DF0" w:rsidRDefault="004A034D" w:rsidP="00472309">
    <w:pPr>
      <w:pStyle w:val="Header"/>
      <w:spacing w:after="240"/>
      <w:jc w:val="center"/>
      <w:rPr>
        <w:b/>
        <w:sz w:val="24"/>
        <w:szCs w:val="24"/>
      </w:rPr>
    </w:pPr>
    <w:r w:rsidRPr="000D4DF0">
      <w:rPr>
        <w:b/>
        <w:sz w:val="24"/>
        <w:szCs w:val="24"/>
      </w:rPr>
      <w:t>DEFENSE LOGISTICS ACQUISITION DIRECTIVE</w:t>
    </w:r>
  </w:p>
  <w:p w:rsidR="004A034D" w:rsidRPr="0076729F" w:rsidRDefault="004A034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34D" w:rsidRPr="000D4DF0" w:rsidRDefault="004A034D" w:rsidP="00472309">
    <w:pPr>
      <w:pStyle w:val="Header"/>
      <w:spacing w:after="240"/>
      <w:jc w:val="center"/>
      <w:rPr>
        <w:b/>
        <w:sz w:val="24"/>
        <w:szCs w:val="24"/>
      </w:rPr>
    </w:pPr>
    <w:r w:rsidRPr="000D4DF0">
      <w:rPr>
        <w:b/>
        <w:sz w:val="24"/>
        <w:szCs w:val="24"/>
      </w:rPr>
      <w:t>DEFENSE LOGISTICS ACQUISITION DIRECTIVE</w:t>
    </w:r>
  </w:p>
  <w:p w:rsidR="004A034D" w:rsidRPr="0076729F" w:rsidRDefault="004A034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34D" w:rsidRPr="000D4DF0" w:rsidRDefault="004A034D" w:rsidP="00472309">
    <w:pPr>
      <w:pStyle w:val="Header"/>
      <w:spacing w:after="240"/>
      <w:jc w:val="center"/>
      <w:rPr>
        <w:b/>
        <w:sz w:val="24"/>
        <w:szCs w:val="24"/>
      </w:rPr>
    </w:pPr>
    <w:r w:rsidRPr="000D4DF0">
      <w:rPr>
        <w:b/>
        <w:sz w:val="24"/>
        <w:szCs w:val="24"/>
      </w:rPr>
      <w:t>DEFENSE LOGISTICS ACQUISITION DIRECTIVE</w:t>
    </w:r>
  </w:p>
  <w:p w:rsidR="004A034D" w:rsidRPr="0076729F" w:rsidRDefault="004A034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7D9"/>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34D"/>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4037D9"/>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4037D9"/>
    <w:rPr>
      <w:rFonts w:eastAsia="Calibri"/>
    </w:rPr>
  </w:style>
  <w:style w:type="character" w:customStyle="1" w:styleId="List1Char">
    <w:name w:val="List 1 Char"/>
    <w:basedOn w:val="ListChar"/>
    <w:link w:val="List1"/>
    <w:rsid w:val="004037D9"/>
    <w:rPr>
      <w:rFonts w:eastAsia="Calibri"/>
      <w:snapToGrid w:val="0"/>
      <w:sz w:val="24"/>
      <w:szCs w:val="24"/>
    </w:rPr>
  </w:style>
  <w:style w:type="paragraph" w:customStyle="1" w:styleId="List6">
    <w:name w:val="List 6"/>
    <w:basedOn w:val="List3"/>
    <w:link w:val="List6Char"/>
    <w:rsid w:val="004037D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4037D9"/>
  </w:style>
  <w:style w:type="character" w:customStyle="1" w:styleId="List6Char">
    <w:name w:val="List 6 Char"/>
    <w:basedOn w:val="List3Char"/>
    <w:link w:val="List6"/>
    <w:rsid w:val="004037D9"/>
    <w:rPr>
      <w:sz w:val="24"/>
    </w:rPr>
  </w:style>
  <w:style w:type="paragraph" w:customStyle="1" w:styleId="List7">
    <w:name w:val="List 7"/>
    <w:basedOn w:val="List6"/>
    <w:link w:val="List7Char"/>
    <w:rsid w:val="004037D9"/>
    <w:pPr>
      <w:ind w:left="2160"/>
    </w:pPr>
  </w:style>
  <w:style w:type="character" w:customStyle="1" w:styleId="List7Char">
    <w:name w:val="List 7 Char"/>
    <w:basedOn w:val="List3Char"/>
    <w:link w:val="List7"/>
    <w:rsid w:val="004037D9"/>
    <w:rPr>
      <w:sz w:val="24"/>
    </w:rPr>
  </w:style>
  <w:style w:type="paragraph" w:customStyle="1" w:styleId="List8">
    <w:name w:val="List 8"/>
    <w:basedOn w:val="List3"/>
    <w:link w:val="List8Char"/>
    <w:rsid w:val="004037D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4037D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4037D9"/>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4037D9"/>
    <w:rPr>
      <w:rFonts w:eastAsia="Calibri"/>
    </w:rPr>
  </w:style>
  <w:style w:type="character" w:customStyle="1" w:styleId="List1Char">
    <w:name w:val="List 1 Char"/>
    <w:basedOn w:val="ListChar"/>
    <w:link w:val="List1"/>
    <w:rsid w:val="004037D9"/>
    <w:rPr>
      <w:rFonts w:eastAsia="Calibri"/>
      <w:snapToGrid w:val="0"/>
      <w:sz w:val="24"/>
      <w:szCs w:val="24"/>
    </w:rPr>
  </w:style>
  <w:style w:type="paragraph" w:customStyle="1" w:styleId="List6">
    <w:name w:val="List 6"/>
    <w:basedOn w:val="List3"/>
    <w:link w:val="List6Char"/>
    <w:rsid w:val="004037D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4037D9"/>
  </w:style>
  <w:style w:type="character" w:customStyle="1" w:styleId="List6Char">
    <w:name w:val="List 6 Char"/>
    <w:basedOn w:val="List3Char"/>
    <w:link w:val="List6"/>
    <w:rsid w:val="004037D9"/>
    <w:rPr>
      <w:sz w:val="24"/>
    </w:rPr>
  </w:style>
  <w:style w:type="paragraph" w:customStyle="1" w:styleId="List7">
    <w:name w:val="List 7"/>
    <w:basedOn w:val="List6"/>
    <w:link w:val="List7Char"/>
    <w:rsid w:val="004037D9"/>
    <w:pPr>
      <w:ind w:left="2160"/>
    </w:pPr>
  </w:style>
  <w:style w:type="character" w:customStyle="1" w:styleId="List7Char">
    <w:name w:val="List 7 Char"/>
    <w:basedOn w:val="List3Char"/>
    <w:link w:val="List7"/>
    <w:rsid w:val="004037D9"/>
    <w:rPr>
      <w:sz w:val="24"/>
    </w:rPr>
  </w:style>
  <w:style w:type="paragraph" w:customStyle="1" w:styleId="List8">
    <w:name w:val="List 8"/>
    <w:basedOn w:val="List3"/>
    <w:link w:val="List8Char"/>
    <w:rsid w:val="004037D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4037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yperlink" Target="http://www.opm.gov" TargetMode="External"/><Relationship Id="rId17" Type="http://schemas.openxmlformats.org/officeDocument/2006/relationships/header" Target="header3.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C20C1A5-7FDF-4C2D-A6A9-3118E1E0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19146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