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34" w:rsidRDefault="00403E34" w:rsidP="00B44BE7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54782376"/>
      <w:bookmarkStart w:id="4" w:name="_GoBack"/>
      <w:bookmarkEnd w:id="4"/>
      <w:r>
        <w:t>PART 5205 PUBLICIZING CONTRACT ACTIONS</w:t>
      </w:r>
      <w:bookmarkEnd w:id="0"/>
      <w:bookmarkEnd w:id="1"/>
      <w:bookmarkEnd w:id="2"/>
      <w:bookmarkEnd w:id="3"/>
    </w:p>
    <w:p w:rsidR="00403E34" w:rsidRDefault="00403E34" w:rsidP="00B44BE7">
      <w:pPr>
        <w:pStyle w:val="Heading2"/>
      </w:pPr>
      <w:bookmarkStart w:id="5" w:name="_Toc58257266"/>
      <w:bookmarkStart w:id="6" w:name="_Toc221088576"/>
      <w:bookmarkStart w:id="7" w:name="_Toc221944309"/>
      <w:bookmarkStart w:id="8" w:name="_Toc54782377"/>
      <w:r>
        <w:t>SUBPART 5205.3—SYNOPSES OF CONTRACT AWARDS</w:t>
      </w:r>
      <w:bookmarkEnd w:id="5"/>
      <w:bookmarkEnd w:id="6"/>
      <w:bookmarkEnd w:id="7"/>
      <w:bookmarkEnd w:id="8"/>
    </w:p>
    <w:p w:rsidR="00403E34" w:rsidRDefault="00403E34" w:rsidP="00B44BE7">
      <w:pPr>
        <w:pStyle w:val="Heading3"/>
      </w:pPr>
      <w:bookmarkStart w:id="9" w:name="_Toc58257267"/>
      <w:bookmarkStart w:id="10" w:name="_Toc221088577"/>
      <w:bookmarkStart w:id="11" w:name="_Toc221944310"/>
      <w:bookmarkStart w:id="12" w:name="_Toc54782378"/>
      <w:r w:rsidRPr="00346290">
        <w:t>5205.303 Announcement of contract awards.</w:t>
      </w:r>
      <w:bookmarkEnd w:id="9"/>
      <w:bookmarkEnd w:id="10"/>
      <w:bookmarkEnd w:id="11"/>
      <w:bookmarkEnd w:id="12"/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(a) </w:t>
      </w:r>
      <w:r>
        <w:rPr>
          <w:i/>
        </w:rPr>
        <w:t>Public Announcement</w:t>
      </w:r>
      <w:r>
        <w:t>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(i)  Report orders or modifications issued by </w:t>
      </w:r>
      <w:r w:rsidRPr="00746A0E">
        <w:t>CAOs t</w:t>
      </w:r>
      <w:r>
        <w:t>hat exceed the threshold.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(ii) Submit announcement information to the Navy Chief of Information (CHINFO).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</w:t>
      </w:r>
      <w:r w:rsidRPr="00746A0E">
        <w:t xml:space="preserve">(S-90) </w:t>
      </w:r>
      <w:r w:rsidRPr="00746A0E">
        <w:rPr>
          <w:i/>
        </w:rPr>
        <w:t>Security review</w:t>
      </w:r>
      <w:r w:rsidRPr="00746A0E">
        <w:t>.  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(S-91) </w:t>
      </w:r>
      <w:r>
        <w:rPr>
          <w:i/>
        </w:rPr>
        <w:t>Format</w:t>
      </w:r>
      <w:r>
        <w:t>. 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(a) Contract award. 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(b) Contract modification. 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      (3) This modification provides for the exercise of an option for an additional quantity of (quantity and item, e.g., 200 gadgets) being produced under the basic contract.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403E34" w:rsidRDefault="00403E34" w:rsidP="00344CA4">
      <w:r>
        <w:t xml:space="preserve">         (D)(5) </w:t>
      </w:r>
      <w:r>
        <w:rPr>
          <w:i/>
        </w:rPr>
        <w:t>Miscellaneous data</w:t>
      </w:r>
      <w:r>
        <w:t>.  Include: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(a) a statement that the information contained in the announcement is unclassified;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(b) any areas of sensitivity or high-level interest;</w:t>
      </w:r>
    </w:p>
    <w:p w:rsidR="00403E34" w:rsidRDefault="00403E34" w:rsidP="00BF3A89">
      <w:r>
        <w:t xml:space="preserve">             (c) indication of appropriate coordination to ensure the accuracy of the wording and data to be released.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(d) the estimated period of performance or delivery schedule.</w:t>
      </w:r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           (e) the amount of any of the obligated funds that would have expired at the end of the current fiscal year.</w:t>
      </w:r>
    </w:p>
    <w:p w:rsidR="00403E34" w:rsidRDefault="00403E34" w:rsidP="00B44BE7">
      <w:pPr>
        <w:widowControl w:val="0"/>
        <w:tabs>
          <w:tab w:val="left" w:pos="3690"/>
        </w:tabs>
      </w:pPr>
    </w:p>
    <w:p w:rsidR="00403E34" w:rsidRDefault="00403E34" w:rsidP="00B44BE7">
      <w:pPr>
        <w:pStyle w:val="Heading2"/>
      </w:pPr>
      <w:bookmarkStart w:id="13" w:name="_Toc58257268"/>
      <w:bookmarkStart w:id="14" w:name="_Toc221088578"/>
      <w:bookmarkStart w:id="15" w:name="_Toc221944311"/>
      <w:bookmarkStart w:id="16" w:name="_Toc54782379"/>
      <w:r>
        <w:t>SUBPART 5205.4—RELEASE OF INFORMATION</w:t>
      </w:r>
      <w:bookmarkEnd w:id="13"/>
      <w:bookmarkEnd w:id="14"/>
      <w:bookmarkEnd w:id="15"/>
      <w:bookmarkEnd w:id="16"/>
    </w:p>
    <w:p w:rsidR="00403E34" w:rsidRDefault="00403E34" w:rsidP="00B44BE7">
      <w:pPr>
        <w:pStyle w:val="Heading3"/>
      </w:pPr>
      <w:bookmarkStart w:id="17" w:name="_Toc58257269"/>
      <w:bookmarkStart w:id="18" w:name="_Toc221088579"/>
      <w:bookmarkStart w:id="19" w:name="_Toc221944312"/>
      <w:bookmarkStart w:id="20" w:name="_Toc54782380"/>
      <w:r>
        <w:t>5205.404 Release of long</w:t>
      </w:r>
      <w:r>
        <w:noBreakHyphen/>
        <w:t>range acquisition forecasts.</w:t>
      </w:r>
      <w:bookmarkEnd w:id="17"/>
      <w:bookmarkEnd w:id="18"/>
      <w:bookmarkEnd w:id="19"/>
      <w:bookmarkEnd w:id="20"/>
    </w:p>
    <w:p w:rsidR="00403E34" w:rsidRDefault="00403E34" w:rsidP="00735262">
      <w:r>
        <w:t xml:space="preserve">   Submit an annual long-range acquisition forecast, using the format provided in Annex 25, to</w:t>
      </w:r>
    </w:p>
    <w:p w:rsidR="00403E34" w:rsidRDefault="00403E34" w:rsidP="00F24615">
      <w:pPr>
        <w:pStyle w:val="Normalwline"/>
      </w:pPr>
      <w:r>
        <w:t xml:space="preserve">DASN(P) by email </w:t>
      </w:r>
      <w:r w:rsidRPr="007067AF">
        <w:t xml:space="preserve">at </w:t>
      </w:r>
      <w:hyperlink r:id="rId12" w:history="1">
        <w:r w:rsidRPr="007067AF">
          <w:t>RDAJ&amp;As.fct@navy.mil</w:t>
        </w:r>
      </w:hyperlink>
      <w:r w:rsidRPr="007067AF">
        <w:t xml:space="preserve"> </w:t>
      </w:r>
      <w:r>
        <w:t>with the subject “[Activity Name] FAR 5.404 Long</w:t>
      </w:r>
    </w:p>
    <w:p w:rsidR="00403E34" w:rsidRPr="00EC7E67" w:rsidRDefault="00403E34" w:rsidP="00723D17">
      <w:r>
        <w:t xml:space="preserve">Range Acquisition Forecast” by June 20. </w:t>
      </w:r>
    </w:p>
    <w:p w:rsidR="00403E34" w:rsidRDefault="00403E34" w:rsidP="00B44BE7">
      <w:pPr>
        <w:pStyle w:val="Heading4"/>
      </w:pPr>
      <w:bookmarkStart w:id="21" w:name="_Toc58257270"/>
      <w:bookmarkStart w:id="22" w:name="_Toc221088580"/>
      <w:bookmarkStart w:id="23" w:name="_Toc221944313"/>
      <w:r>
        <w:t>5205.404-1 Release procedures.</w:t>
      </w:r>
      <w:bookmarkEnd w:id="21"/>
      <w:bookmarkEnd w:id="22"/>
      <w:bookmarkEnd w:id="23"/>
    </w:p>
    <w:p w:rsidR="00403E34" w:rsidRDefault="00403E34" w:rsidP="00B44BE7">
      <w:pPr>
        <w:widowControl w:val="0"/>
        <w:tabs>
          <w:tab w:val="left" w:pos="3690"/>
        </w:tabs>
      </w:pPr>
      <w:r>
        <w:t xml:space="preserve">  (a) </w:t>
      </w:r>
      <w:r>
        <w:rPr>
          <w:i/>
        </w:rPr>
        <w:t>Application</w:t>
      </w:r>
      <w:r>
        <w:t>.  The agency head designates the HCA as the official who may, in addition to the agency head, release long</w:t>
      </w:r>
      <w:r>
        <w:noBreakHyphen/>
        <w:t xml:space="preserve">range acquisition estimates. </w:t>
      </w:r>
    </w:p>
    <w:p w:rsidR="00403E34" w:rsidRDefault="00403E3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34" w:rsidRDefault="00403E34">
      <w:r>
        <w:separator/>
      </w:r>
    </w:p>
  </w:endnote>
  <w:endnote w:type="continuationSeparator" w:id="0">
    <w:p w:rsidR="00403E34" w:rsidRDefault="0040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34" w:rsidRDefault="00403E34">
      <w:r>
        <w:separator/>
      </w:r>
    </w:p>
  </w:footnote>
  <w:footnote w:type="continuationSeparator" w:id="0">
    <w:p w:rsidR="00403E34" w:rsidRDefault="00403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3E34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DC52F1-0ED7-4BAB-A8C2-898D75E0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3749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