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64" w:rsidRPr="00A87E8D" w:rsidRDefault="009D1364" w:rsidP="00D77EF5">
      <w:pPr>
        <w:pStyle w:val="Heading1"/>
      </w:pPr>
      <w:bookmarkStart w:id="0" w:name="_Toc54782703"/>
      <w:bookmarkStart w:id="1" w:name="_GoBack"/>
      <w:bookmarkEnd w:id="1"/>
      <w:r w:rsidRPr="009C4349">
        <w:t xml:space="preserve">ANNEX 8 - PEER REVIEW </w:t>
      </w:r>
      <w:r>
        <w:t>ROLLING FORECAST</w:t>
      </w:r>
      <w:bookmarkEnd w:id="0"/>
    </w:p>
    <w:p w:rsidR="009D1364" w:rsidRDefault="009D1364" w:rsidP="00235F7E">
      <w:bookmarkStart w:id="2" w:name="_Claim/Request_for_Equitable"/>
      <w:bookmarkEnd w:id="2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>by</w:t>
      </w:r>
    </w:p>
    <w:p w:rsidR="009D1364" w:rsidRDefault="009D1364" w:rsidP="009829BD">
      <w:pPr>
        <w:pStyle w:val="Normalwline"/>
        <w:rPr>
          <w:rStyle w:val="NormalwlineChar"/>
        </w:rPr>
      </w:pP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</w:p>
    <w:p w:rsidR="009D1364" w:rsidRDefault="009D1364" w:rsidP="009829BD"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2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</w:p>
    <w:p w:rsidR="009D1364" w:rsidRDefault="009D1364" w:rsidP="00232C74">
      <w:pPr>
        <w:pStyle w:val="Normalwline"/>
      </w:pP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</w:p>
    <w:p w:rsidR="009D1364" w:rsidRPr="006103F4" w:rsidRDefault="009D1364" w:rsidP="009829BD">
      <w:pPr>
        <w:rPr>
          <w:sz w:val="22"/>
        </w:rPr>
      </w:pPr>
      <w:r w:rsidRPr="00232C74">
        <w:t>template can</w:t>
      </w:r>
      <w:r>
        <w:t xml:space="preserve"> be found at </w:t>
      </w:r>
      <w:hyperlink r:id="rId13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9D1364" w:rsidRPr="00A455FD" w:rsidRDefault="009D1364" w:rsidP="00756744">
      <w:pPr>
        <w:pStyle w:val="ListParagraph"/>
        <w:ind w:left="0"/>
      </w:pPr>
      <w:r>
        <w:t xml:space="preserve">   </w:t>
      </w:r>
    </w:p>
    <w:p w:rsidR="009D1364" w:rsidRPr="00232C74" w:rsidRDefault="009D1364" w:rsidP="00E1323B">
      <w:pPr>
        <w:pStyle w:val="Normalwline"/>
        <w:jc w:val="center"/>
        <w:rPr>
          <w:b/>
        </w:rPr>
      </w:pPr>
      <w:r w:rsidRPr="00232C74">
        <w:rPr>
          <w:b/>
        </w:rPr>
        <w:t xml:space="preserve">DON Peer Review </w:t>
      </w:r>
      <w:r>
        <w:rPr>
          <w:b/>
        </w:rPr>
        <w:t xml:space="preserve">Rolling </w:t>
      </w:r>
      <w:r w:rsidRPr="00232C74">
        <w:rPr>
          <w:b/>
        </w:rPr>
        <w:t>Forecast Spreadsheet</w:t>
      </w:r>
    </w:p>
    <w:p w:rsidR="009D1364" w:rsidRDefault="009D1364" w:rsidP="00E50F71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45pt;height:123.45pt">
            <v:imagedata r:id="rId14" o:title="Capture 1"/>
          </v:shape>
        </w:pict>
      </w:r>
    </w:p>
    <w:p w:rsidR="009D1364" w:rsidRDefault="009D1364" w:rsidP="00E50F71">
      <w:pPr>
        <w:ind w:left="180"/>
        <w:jc w:val="center"/>
      </w:pPr>
    </w:p>
    <w:p w:rsidR="009D1364" w:rsidRPr="00473E73" w:rsidRDefault="009D1364" w:rsidP="000C5A11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9D1364" w:rsidRDefault="009D1364" w:rsidP="00E50F71">
      <w:pPr>
        <w:ind w:left="180"/>
        <w:jc w:val="center"/>
        <w:rPr>
          <w:b/>
          <w:sz w:val="32"/>
        </w:rPr>
      </w:pPr>
      <w:r>
        <w:pict>
          <v:shape id="_x0000_i1030" type="#_x0000_t75" style="width:468.45pt;height:124.7pt">
            <v:imagedata r:id="rId15" o:title="Capture 2"/>
          </v:shape>
        </w:pict>
      </w: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64" w:rsidRDefault="009D1364">
      <w:r>
        <w:separator/>
      </w:r>
    </w:p>
  </w:endnote>
  <w:endnote w:type="continuationSeparator" w:id="0">
    <w:p w:rsidR="009D1364" w:rsidRDefault="009D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64" w:rsidRDefault="009D1364">
      <w:r>
        <w:separator/>
      </w:r>
    </w:p>
  </w:footnote>
  <w:footnote w:type="continuationSeparator" w:id="0">
    <w:p w:rsidR="009D1364" w:rsidRDefault="009D1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364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ecnav.navy.mil/rda/DASN-P/Pages/NMCARS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FFD5C-684A-42E9-80A7-BBA591CE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