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EEB" w:rsidRDefault="007E7EEB" w:rsidP="00B44BE7">
      <w:pPr>
        <w:pStyle w:val="Heading1"/>
      </w:pPr>
      <w:bookmarkStart w:id="0" w:name="_Toc54782606"/>
      <w:bookmarkStart w:id="1" w:name="_GoBack"/>
      <w:bookmarkEnd w:id="1"/>
      <w:r>
        <w:t>PART 5233 PROTESTS, DISPUTES, AND APPEALS</w:t>
      </w:r>
      <w:bookmarkEnd w:id="0"/>
    </w:p>
    <w:p w:rsidR="007E7EEB" w:rsidRDefault="007E7EEB" w:rsidP="00B44BE7">
      <w:pPr>
        <w:pStyle w:val="Heading2"/>
      </w:pPr>
      <w:bookmarkStart w:id="2" w:name="_Toc221088839"/>
      <w:bookmarkStart w:id="3" w:name="_Toc221944573"/>
      <w:bookmarkStart w:id="4" w:name="_Toc54782607"/>
      <w:r>
        <w:t>SUBPART 5233.1—PROTESTS</w:t>
      </w:r>
      <w:bookmarkEnd w:id="2"/>
      <w:bookmarkEnd w:id="3"/>
      <w:bookmarkEnd w:id="4"/>
    </w:p>
    <w:p w:rsidR="007E7EEB" w:rsidRDefault="007E7EEB" w:rsidP="00B44BE7">
      <w:pPr>
        <w:pStyle w:val="Heading3"/>
      </w:pPr>
      <w:bookmarkStart w:id="5" w:name="_Toc221088840"/>
      <w:bookmarkStart w:id="6" w:name="_Toc221944574"/>
      <w:bookmarkStart w:id="7" w:name="_Toc54782608"/>
      <w:r>
        <w:t>5233.103 Protests to the agency.</w:t>
      </w:r>
      <w:bookmarkEnd w:id="5"/>
      <w:bookmarkEnd w:id="6"/>
      <w:bookmarkEnd w:id="7"/>
    </w:p>
    <w:p w:rsidR="007E7EEB" w:rsidRDefault="007E7EEB" w:rsidP="00B72AB3">
      <w:pPr>
        <w:pStyle w:val="List1"/>
      </w:pPr>
      <w:r>
        <w:t xml:space="preserve">(d)(4)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rsidR="007E7EEB" w:rsidRDefault="007E7EEB" w:rsidP="00B72AB3">
      <w:pPr>
        <w:pStyle w:val="List1"/>
      </w:pPr>
      <w: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rsidR="007E7EEB" w:rsidRDefault="007E7EEB" w:rsidP="00B44BE7">
      <w:pPr>
        <w:widowControl w:val="0"/>
      </w:pPr>
    </w:p>
    <w:p w:rsidR="007E7EEB" w:rsidRDefault="007E7EEB" w:rsidP="00B44BE7">
      <w:pPr>
        <w:pStyle w:val="Heading3"/>
      </w:pPr>
      <w:bookmarkStart w:id="8" w:name="_Toc221088841"/>
      <w:bookmarkStart w:id="9" w:name="_Toc221944575"/>
      <w:bookmarkStart w:id="10" w:name="_Toc54782609"/>
      <w:r>
        <w:t>5233.104 Protests to GAO.</w:t>
      </w:r>
      <w:bookmarkEnd w:id="8"/>
      <w:bookmarkEnd w:id="9"/>
      <w:bookmarkEnd w:id="10"/>
    </w:p>
    <w:p w:rsidR="007E7EEB" w:rsidRDefault="007E7EEB" w:rsidP="00B72AB3">
      <w:pPr>
        <w:pStyle w:val="List1"/>
      </w:pPr>
      <w:r>
        <w:t>(g) HCAs shall consult with DASN(P) before any final decision is reached not to implement GAO's recommendations. Concurrent with the submission to the Comptroller General, a copy of the report shall be provided to DASN(P) by email at</w:t>
      </w:r>
      <w:r w:rsidRPr="00034269">
        <w:t xml:space="preserve"> </w:t>
      </w:r>
      <w:hyperlink r:id="rId12" w:history="1">
        <w:r>
          <w:rPr>
            <w:rStyle w:val="Hyperlink"/>
          </w:rPr>
          <w:t>RDAJ&amp;As.fct</w:t>
        </w:r>
        <w:r w:rsidRPr="00034269">
          <w:rPr>
            <w:rStyle w:val="Hyperlink"/>
          </w:rPr>
          <w:t>@navy.mil</w:t>
        </w:r>
      </w:hyperlink>
      <w:r w:rsidRPr="00034269">
        <w:t xml:space="preserve"> </w:t>
      </w:r>
      <w:r>
        <w:t>with the subject “[Activity Name] FAR 33.104 – GAO Protest Recommendation Decision.”</w:t>
      </w:r>
    </w:p>
    <w:p w:rsidR="007E7EEB" w:rsidRPr="00EE68BE" w:rsidRDefault="007E7EEB" w:rsidP="00B44BE7"/>
    <w:p w:rsidR="007E7EEB" w:rsidRPr="002E128E" w:rsidRDefault="007E7EEB" w:rsidP="00B44BE7">
      <w:pPr>
        <w:pStyle w:val="Heading3"/>
        <w:rPr>
          <w:rFonts w:eastAsia="SimSun"/>
        </w:rPr>
      </w:pPr>
      <w:bookmarkStart w:id="11" w:name="_Toc221088842"/>
      <w:bookmarkStart w:id="12" w:name="_Toc221944576"/>
      <w:bookmarkStart w:id="13" w:name="_Toc54782610"/>
      <w:r w:rsidRPr="002E128E">
        <w:rPr>
          <w:rFonts w:eastAsia="SimSun"/>
        </w:rPr>
        <w:t>5233.170 Briefing requirement for protested acquisitions valued at $1 billion or more.</w:t>
      </w:r>
      <w:bookmarkEnd w:id="11"/>
      <w:bookmarkEnd w:id="12"/>
      <w:bookmarkEnd w:id="13"/>
    </w:p>
    <w:p w:rsidR="007E7EEB" w:rsidRDefault="007E7EEB" w:rsidP="00EB14A2">
      <w:pPr>
        <w:rPr>
          <w:rFonts w:eastAsia="SimSun"/>
          <w:sz w:val="26"/>
          <w:lang w:eastAsia="zh-CN"/>
        </w:rPr>
      </w:pPr>
      <w:r>
        <w:rPr>
          <w:rFonts w:eastAsia="SimSun"/>
          <w:sz w:val="26"/>
          <w:lang w:eastAsia="zh-CN"/>
        </w:rPr>
        <w:t xml:space="preserve">   W</w:t>
      </w:r>
      <w:r w:rsidRPr="00927FA2">
        <w:rPr>
          <w:rFonts w:eastAsia="SimSun"/>
          <w:szCs w:val="24"/>
          <w:lang w:eastAsia="zh-CN"/>
        </w:rPr>
        <w:t xml:space="preserve">ithin 5 days of receipt of </w:t>
      </w:r>
      <w:r>
        <w:rPr>
          <w:rFonts w:eastAsia="SimSun"/>
          <w:szCs w:val="24"/>
          <w:lang w:eastAsia="zh-CN"/>
        </w:rPr>
        <w:t xml:space="preserve">the </w:t>
      </w:r>
      <w:r w:rsidRPr="00927FA2">
        <w:rPr>
          <w:rFonts w:eastAsia="SimSun"/>
          <w:szCs w:val="24"/>
          <w:lang w:eastAsia="zh-CN"/>
        </w:rPr>
        <w:t>protest</w:t>
      </w:r>
      <w:r>
        <w:rPr>
          <w:rFonts w:eastAsia="SimSun"/>
          <w:szCs w:val="24"/>
          <w:lang w:eastAsia="zh-CN"/>
        </w:rPr>
        <w:t>, s</w:t>
      </w:r>
      <w:r w:rsidRPr="00927FA2">
        <w:rPr>
          <w:rFonts w:eastAsia="SimSun"/>
          <w:lang w:eastAsia="zh-CN"/>
        </w:rPr>
        <w:t xml:space="preserve">ubmit the required protest notice to </w:t>
      </w:r>
      <w:r>
        <w:rPr>
          <w:rFonts w:eastAsia="SimSun"/>
          <w:lang w:eastAsia="zh-CN"/>
        </w:rPr>
        <w:t>DASN(P)</w:t>
      </w:r>
      <w:r w:rsidRPr="00927FA2">
        <w:rPr>
          <w:rFonts w:eastAsia="SimSun"/>
          <w:lang w:eastAsia="zh-CN"/>
        </w:rPr>
        <w:t xml:space="preserve"> </w:t>
      </w:r>
      <w:r>
        <w:rPr>
          <w:rFonts w:eastAsia="SimSun"/>
          <w:lang w:eastAsia="zh-CN"/>
        </w:rPr>
        <w:t>by email at</w:t>
      </w:r>
      <w:r w:rsidRPr="00927FA2">
        <w:rPr>
          <w:rFonts w:eastAsia="SimSun"/>
          <w:lang w:eastAsia="zh-CN"/>
        </w:rPr>
        <w:t xml:space="preserve"> </w:t>
      </w:r>
      <w:hyperlink r:id="rId13" w:history="1">
        <w:r>
          <w:rPr>
            <w:rStyle w:val="Hyperlink"/>
            <w:rFonts w:eastAsia="SimSun"/>
            <w:szCs w:val="24"/>
            <w:lang w:eastAsia="zh-CN"/>
          </w:rPr>
          <w:t>RDAJ&amp;As.fct</w:t>
        </w:r>
        <w:r w:rsidRPr="00F95FF9">
          <w:rPr>
            <w:rStyle w:val="Hyperlink"/>
            <w:rFonts w:eastAsia="SimSun"/>
            <w:szCs w:val="24"/>
            <w:lang w:eastAsia="zh-CN"/>
          </w:rPr>
          <w:t>@</w:t>
        </w:r>
        <w:r w:rsidRPr="00AD0375">
          <w:rPr>
            <w:rStyle w:val="Hyperlink"/>
            <w:rFonts w:eastAsia="SimSun"/>
            <w:szCs w:val="24"/>
            <w:lang w:eastAsia="zh-CN"/>
          </w:rPr>
          <w:t>n</w:t>
        </w:r>
        <w:r>
          <w:rPr>
            <w:rStyle w:val="Hyperlink"/>
            <w:rFonts w:eastAsia="SimSun"/>
            <w:szCs w:val="24"/>
            <w:lang w:eastAsia="zh-CN"/>
          </w:rPr>
          <w:t>avy.mil</w:t>
        </w:r>
      </w:hyperlink>
      <w:r w:rsidRPr="00927FA2">
        <w:rPr>
          <w:rFonts w:eastAsia="SimSun"/>
          <w:szCs w:val="24"/>
          <w:lang w:eastAsia="zh-CN"/>
        </w:rPr>
        <w:t xml:space="preserve"> </w:t>
      </w:r>
      <w:bookmarkStart w:id="14" w:name="OLE_LINK5"/>
      <w:r>
        <w:rPr>
          <w:rFonts w:eastAsia="SimSun"/>
          <w:szCs w:val="24"/>
          <w:lang w:eastAsia="zh-CN"/>
        </w:rPr>
        <w:t xml:space="preserve">with the subject “[Activity Name] PGI 233.170 - </w:t>
      </w:r>
      <w:r w:rsidRPr="00927FA2">
        <w:rPr>
          <w:rFonts w:eastAsia="SimSun"/>
          <w:szCs w:val="24"/>
          <w:lang w:eastAsia="zh-CN"/>
        </w:rPr>
        <w:t>P</w:t>
      </w:r>
      <w:r>
        <w:rPr>
          <w:rFonts w:eastAsia="SimSun"/>
          <w:szCs w:val="24"/>
          <w:lang w:eastAsia="zh-CN"/>
        </w:rPr>
        <w:t>rotest</w:t>
      </w:r>
      <w:r w:rsidRPr="00927FA2">
        <w:rPr>
          <w:rFonts w:eastAsia="SimSun"/>
          <w:szCs w:val="24"/>
          <w:lang w:eastAsia="zh-CN"/>
        </w:rPr>
        <w:t xml:space="preserve"> </w:t>
      </w:r>
      <w:r>
        <w:rPr>
          <w:rFonts w:eastAsia="SimSun"/>
          <w:szCs w:val="24"/>
          <w:lang w:eastAsia="zh-CN"/>
        </w:rPr>
        <w:t>[</w:t>
      </w:r>
      <w:r w:rsidRPr="00927FA2">
        <w:rPr>
          <w:rFonts w:eastAsia="SimSun"/>
          <w:szCs w:val="24"/>
          <w:lang w:eastAsia="zh-CN"/>
        </w:rPr>
        <w:t>solicitation or contract number, as appropriate</w:t>
      </w:r>
      <w:r>
        <w:rPr>
          <w:rFonts w:eastAsia="SimSun"/>
          <w:szCs w:val="24"/>
          <w:lang w:eastAsia="zh-CN"/>
        </w:rPr>
        <w:t>]</w:t>
      </w:r>
      <w:r>
        <w:rPr>
          <w:rFonts w:eastAsia="SimSun"/>
          <w:sz w:val="26"/>
          <w:lang w:eastAsia="zh-CN"/>
        </w:rPr>
        <w:t>.”</w:t>
      </w:r>
      <w:r w:rsidRPr="00E241BD">
        <w:rPr>
          <w:rFonts w:eastAsia="SimSun"/>
          <w:sz w:val="26"/>
          <w:lang w:eastAsia="zh-CN"/>
        </w:rPr>
        <w:t xml:space="preserve"> </w:t>
      </w:r>
    </w:p>
    <w:p w:rsidR="007E7EEB" w:rsidRPr="00E241BD" w:rsidRDefault="007E7EEB" w:rsidP="00EB14A2">
      <w:pPr>
        <w:rPr>
          <w:rFonts w:eastAsia="SimSun"/>
          <w:sz w:val="26"/>
          <w:lang w:eastAsia="zh-CN"/>
        </w:rPr>
      </w:pPr>
    </w:p>
    <w:p w:rsidR="007E7EEB" w:rsidRDefault="007E7EEB" w:rsidP="00B44BE7">
      <w:pPr>
        <w:pStyle w:val="Heading2"/>
      </w:pPr>
      <w:bookmarkStart w:id="15" w:name="_Toc221088843"/>
      <w:bookmarkStart w:id="16" w:name="_Toc221944577"/>
      <w:bookmarkStart w:id="17" w:name="_Toc54782611"/>
      <w:bookmarkEnd w:id="14"/>
      <w:r>
        <w:t>SUBPART 5233.2—DISPUTES AND APPEALS</w:t>
      </w:r>
      <w:bookmarkEnd w:id="15"/>
      <w:bookmarkEnd w:id="16"/>
      <w:bookmarkEnd w:id="17"/>
    </w:p>
    <w:p w:rsidR="007E7EEB" w:rsidRDefault="007E7EEB" w:rsidP="00B44BE7">
      <w:pPr>
        <w:pStyle w:val="Heading3"/>
      </w:pPr>
      <w:bookmarkStart w:id="18" w:name="_Toc58254787"/>
      <w:bookmarkStart w:id="19" w:name="_Toc58255227"/>
      <w:bookmarkStart w:id="20" w:name="_Toc190162392"/>
      <w:bookmarkStart w:id="21" w:name="_Toc221088844"/>
      <w:bookmarkStart w:id="22" w:name="_Toc221944578"/>
      <w:bookmarkStart w:id="23" w:name="_Toc54782612"/>
      <w:r>
        <w:t>5233.201 Definitions.</w:t>
      </w:r>
      <w:bookmarkEnd w:id="18"/>
      <w:bookmarkEnd w:id="19"/>
      <w:bookmarkEnd w:id="20"/>
      <w:bookmarkEnd w:id="21"/>
      <w:bookmarkEnd w:id="22"/>
      <w:bookmarkEnd w:id="23"/>
    </w:p>
    <w:p w:rsidR="007E7EEB" w:rsidRDefault="007E7EEB" w:rsidP="00B44BE7">
      <w:pPr>
        <w:widowControl w:val="0"/>
      </w:pPr>
      <w:r>
        <w:t xml:space="preserve">   "Disruption", as used in this part, means the cost effect upon, or the increased cost of performing, the unchanged work due to a change to the contract.</w:t>
      </w:r>
    </w:p>
    <w:p w:rsidR="007E7EEB" w:rsidRDefault="007E7EEB" w:rsidP="00B44BE7">
      <w:pPr>
        <w:widowControl w:val="0"/>
      </w:pPr>
      <w:r>
        <w:t xml:space="preserve">   "Delay", as used in this part with respect to contractors, claims or requests for equitable adjustments, means the time</w:t>
      </w:r>
      <w:r>
        <w:noBreakHyphen/>
        <w:t>oriented cost effects or length of a suspension in scheduled contract work or a period of time</w:t>
      </w:r>
      <w:r>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rsidR="007E7EEB" w:rsidRDefault="007E7EEB" w:rsidP="00B44BE7">
      <w:pPr>
        <w:pStyle w:val="Heading3"/>
      </w:pPr>
    </w:p>
    <w:p w:rsidR="007E7EEB" w:rsidRDefault="007E7EEB" w:rsidP="00B44BE7">
      <w:pPr>
        <w:pStyle w:val="Heading3"/>
      </w:pPr>
      <w:bookmarkStart w:id="24" w:name="_Toc221088845"/>
      <w:bookmarkStart w:id="25" w:name="_Toc221944579"/>
      <w:bookmarkStart w:id="26" w:name="_Toc54782613"/>
      <w:r>
        <w:t>5233.203 Applicability.</w:t>
      </w:r>
      <w:bookmarkEnd w:id="24"/>
      <w:bookmarkEnd w:id="25"/>
      <w:bookmarkEnd w:id="26"/>
    </w:p>
    <w:p w:rsidR="007E7EEB" w:rsidRDefault="007E7EEB" w:rsidP="00B72AB3">
      <w:pPr>
        <w:pStyle w:val="List1"/>
      </w:pPr>
      <w:r>
        <w:t>(b)(2) The HCA is delegated the authority to make the determination that the application of the Act to the contract would not be in the public interest.</w:t>
      </w:r>
    </w:p>
    <w:p w:rsidR="007E7EEB" w:rsidRDefault="007E7EEB" w:rsidP="00B44BE7">
      <w:pPr>
        <w:widowControl w:val="0"/>
        <w:rPr>
          <w:b/>
        </w:rPr>
      </w:pPr>
    </w:p>
    <w:p w:rsidR="007E7EEB" w:rsidRDefault="007E7EEB" w:rsidP="00B44BE7">
      <w:pPr>
        <w:pStyle w:val="Heading3"/>
      </w:pPr>
      <w:bookmarkStart w:id="27" w:name="_Toc58254788"/>
      <w:bookmarkStart w:id="28" w:name="_Toc58255228"/>
      <w:bookmarkStart w:id="29" w:name="_Toc190162393"/>
      <w:bookmarkStart w:id="30" w:name="_Toc221088846"/>
      <w:bookmarkStart w:id="31" w:name="_Toc221944580"/>
      <w:bookmarkStart w:id="32" w:name="_Toc54782614"/>
      <w:r>
        <w:t>5233.204 Policy.</w:t>
      </w:r>
      <w:bookmarkEnd w:id="27"/>
      <w:bookmarkEnd w:id="28"/>
      <w:bookmarkEnd w:id="29"/>
      <w:bookmarkEnd w:id="30"/>
      <w:bookmarkEnd w:id="31"/>
      <w:bookmarkEnd w:id="32"/>
    </w:p>
    <w:p w:rsidR="007E7EEB" w:rsidRDefault="007E7EEB" w:rsidP="00B44BE7">
      <w:pPr>
        <w:pStyle w:val="Heading4"/>
      </w:pPr>
      <w:bookmarkStart w:id="33" w:name="_Toc58254789"/>
      <w:bookmarkStart w:id="34" w:name="_Toc58255229"/>
      <w:bookmarkStart w:id="35" w:name="_Toc190162394"/>
      <w:bookmarkStart w:id="36" w:name="_Toc221088847"/>
      <w:bookmarkStart w:id="37" w:name="_Toc221944581"/>
      <w:r>
        <w:t>5233.204-90 General.</w:t>
      </w:r>
      <w:bookmarkEnd w:id="33"/>
      <w:bookmarkEnd w:id="34"/>
      <w:bookmarkEnd w:id="35"/>
      <w:bookmarkEnd w:id="36"/>
      <w:bookmarkEnd w:id="37"/>
    </w:p>
    <w:p w:rsidR="007E7EEB" w:rsidRDefault="007E7EEB" w:rsidP="00B72AB3">
      <w:pPr>
        <w:pStyle w:val="List1"/>
      </w:pPr>
      <w:r>
        <w:t xml:space="preserve">(a) </w:t>
      </w:r>
      <w:r>
        <w:rPr>
          <w:i/>
        </w:rPr>
        <w:t>Multi</w:t>
      </w:r>
      <w:r>
        <w:rPr>
          <w:i/>
        </w:rPr>
        <w:noBreakHyphen/>
        <w:t>discipline approach</w:t>
      </w:r>
      <w:r>
        <w:t>.  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rsidR="007E7EEB" w:rsidRDefault="007E7EEB" w:rsidP="00B72AB3">
      <w:pPr>
        <w:pStyle w:val="List1"/>
      </w:pPr>
      <w:r>
        <w:t xml:space="preserve">(b) </w:t>
      </w:r>
      <w:r>
        <w:rPr>
          <w:i/>
        </w:rPr>
        <w:t>Formal and constructive changes</w:t>
      </w:r>
      <w:r>
        <w:t>.</w:t>
      </w:r>
    </w:p>
    <w:p w:rsidR="007E7EEB" w:rsidRDefault="007E7EEB" w:rsidP="00B44BE7">
      <w:pPr>
        <w:widowControl w:val="0"/>
      </w:pPr>
      <w:r>
        <w:t xml:space="preserve">     (1)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rsidR="007E7EEB" w:rsidRDefault="007E7EEB" w:rsidP="00B44BE7">
      <w:pPr>
        <w:widowControl w:val="0"/>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rsidR="007E7EEB" w:rsidRDefault="007E7EEB" w:rsidP="00B72AB3">
      <w:pPr>
        <w:pStyle w:val="List1"/>
      </w:pPr>
      <w:r>
        <w:t xml:space="preserve">(c) </w:t>
      </w:r>
      <w:r>
        <w:rPr>
          <w:i/>
        </w:rPr>
        <w:t>Rejection of "total cost" and "total time" based claims</w:t>
      </w:r>
      <w:r>
        <w:t>.</w:t>
      </w:r>
    </w:p>
    <w:p w:rsidR="007E7EEB" w:rsidRDefault="007E7EEB" w:rsidP="00B44BE7">
      <w:pPr>
        <w:widowControl w:val="0"/>
        <w:rPr>
          <w:b/>
        </w:rPr>
      </w:pPr>
      <w:r>
        <w:t xml:space="preserve">   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w:p w:rsidR="007E7EEB" w:rsidRDefault="007E7EEB" w:rsidP="00B44BE7">
      <w:pPr>
        <w:pStyle w:val="Heading3"/>
      </w:pPr>
    </w:p>
    <w:p w:rsidR="007E7EEB" w:rsidRDefault="007E7EEB" w:rsidP="00B44BE7">
      <w:pPr>
        <w:pStyle w:val="Heading3"/>
      </w:pPr>
      <w:bookmarkStart w:id="38" w:name="_Toc221088848"/>
      <w:bookmarkStart w:id="39" w:name="_Toc221944582"/>
      <w:bookmarkStart w:id="40" w:name="_Toc54782615"/>
      <w:r>
        <w:t>5233.209 Suspected fraudulent claims.</w:t>
      </w:r>
      <w:bookmarkEnd w:id="38"/>
      <w:bookmarkEnd w:id="39"/>
      <w:bookmarkEnd w:id="40"/>
    </w:p>
    <w:p w:rsidR="007E7EEB" w:rsidRDefault="007E7EEB" w:rsidP="00102C22">
      <w:r>
        <w:rPr>
          <w:b/>
        </w:rPr>
        <w:t xml:space="preserve"> </w:t>
      </w:r>
      <w:r>
        <w:t xml:space="preserve">  The Naval Criminal Investigative Service is the agency official responsible for investigating fraud.</w:t>
      </w:r>
    </w:p>
    <w:p w:rsidR="007E7EEB" w:rsidRDefault="007E7EEB" w:rsidP="00102C22"/>
    <w:p w:rsidR="007E7EEB" w:rsidRDefault="007E7EEB" w:rsidP="00B44BE7">
      <w:pPr>
        <w:pStyle w:val="Heading3"/>
      </w:pPr>
      <w:bookmarkStart w:id="41" w:name="_Toc221088849"/>
      <w:bookmarkStart w:id="42" w:name="_Toc221944583"/>
      <w:bookmarkStart w:id="43" w:name="_Toc54782616"/>
      <w:r>
        <w:t>5233.211 Contracting officer's decision.</w:t>
      </w:r>
      <w:bookmarkEnd w:id="41"/>
      <w:bookmarkEnd w:id="42"/>
      <w:bookmarkEnd w:id="43"/>
    </w:p>
    <w:p w:rsidR="007E7EEB" w:rsidRDefault="007E7EEB" w:rsidP="00B72AB3">
      <w:pPr>
        <w:pStyle w:val="List1"/>
      </w:pPr>
      <w:r>
        <w:t>(a)(1) When reviewing the facts pertinent to a claim, the contracting officer shall determine if the claimant established:</w:t>
      </w:r>
    </w:p>
    <w:p w:rsidR="007E7EEB" w:rsidRDefault="007E7EEB" w:rsidP="00B44BE7">
      <w:pPr>
        <w:widowControl w:val="0"/>
      </w:pPr>
      <w:r>
        <w:t xml:space="preserve">     </w:t>
      </w:r>
      <w:r>
        <w:tab/>
        <w:t xml:space="preserve">(A) the existence of a legal basis for entitlement, </w:t>
      </w:r>
    </w:p>
    <w:p w:rsidR="007E7EEB" w:rsidRDefault="007E7EEB" w:rsidP="00B44BE7">
      <w:pPr>
        <w:widowControl w:val="0"/>
      </w:pPr>
      <w:r>
        <w:t xml:space="preserve">          </w:t>
      </w:r>
      <w:r>
        <w:tab/>
        <w:t xml:space="preserve">(B) facts meeting the elements of proof required to support the basis of entitlement, and </w:t>
      </w:r>
    </w:p>
    <w:p w:rsidR="007E7EEB" w:rsidRDefault="007E7EEB" w:rsidP="00B44BE7">
      <w:pPr>
        <w:widowControl w:val="0"/>
      </w:pPr>
      <w:r>
        <w:t xml:space="preserve">          </w:t>
      </w:r>
      <w:r>
        <w:tab/>
        <w:t>(C) adequate factual support for the amounts claimed.</w:t>
      </w:r>
    </w:p>
    <w:p w:rsidR="007E7EEB" w:rsidRDefault="007E7EEB" w:rsidP="00B72AB3">
      <w:pPr>
        <w:pStyle w:val="List1"/>
      </w:pPr>
      <w:r>
        <w:t>(b) Copies of the contracting officer's decision shall receive the same distribution as the related contract and also shall be furnished to any assignee, guarantor, or surety of the contractor.  In addition, a legible copy of the decision shall be forwarded to the Office of the General Counsel, Legal Services Support Group, Navy Litigation Office, Department of the Navy, Washington, DC 20360 at the time of transmittal to the contractor.</w:t>
      </w:r>
    </w:p>
    <w:p w:rsidR="007E7EEB" w:rsidRDefault="007E7EEB" w:rsidP="00B44BE7">
      <w:pPr>
        <w:widowControl w:val="0"/>
        <w:rPr>
          <w:b/>
        </w:rPr>
      </w:pPr>
    </w:p>
    <w:p w:rsidR="007E7EEB" w:rsidRDefault="007E7EEB" w:rsidP="00E521D4">
      <w:pPr>
        <w:pStyle w:val="Heading2"/>
      </w:pPr>
      <w:bookmarkStart w:id="44" w:name="_Toc221088850"/>
      <w:bookmarkStart w:id="45" w:name="_Toc221944584"/>
      <w:bookmarkStart w:id="46" w:name="_Toc54782617"/>
      <w:r>
        <w:t>SUBPART 5233.90—PROCEDURES</w:t>
      </w:r>
      <w:bookmarkEnd w:id="44"/>
      <w:bookmarkEnd w:id="45"/>
      <w:bookmarkEnd w:id="46"/>
    </w:p>
    <w:p w:rsidR="007E7EEB" w:rsidRDefault="007E7EEB" w:rsidP="007D1085">
      <w:pPr>
        <w:pStyle w:val="Heading3"/>
      </w:pPr>
      <w:bookmarkStart w:id="47" w:name="_Toc221088852"/>
      <w:bookmarkStart w:id="48" w:name="_Toc221944586"/>
      <w:bookmarkStart w:id="49" w:name="_Toc54782618"/>
      <w:r>
        <w:t>5233.9001 Claims approval requirements.</w:t>
      </w:r>
      <w:bookmarkEnd w:id="47"/>
      <w:bookmarkEnd w:id="48"/>
      <w:bookmarkEnd w:id="49"/>
    </w:p>
    <w:p w:rsidR="007E7EEB" w:rsidRDefault="007E7EEB" w:rsidP="00B72AB3">
      <w:pPr>
        <w:pStyle w:val="List1"/>
      </w:pPr>
      <w:r>
        <w:t>(a) All proposed claim settlements in excess of $25 million, and final decisions of the contracting officer involving payments in an amount greater than $25 million, shall be submitted for review and approval to DASN(P) by email at</w:t>
      </w:r>
      <w:r w:rsidRPr="00C9351A">
        <w:t xml:space="preserve"> </w:t>
      </w:r>
      <w:hyperlink r:id="rId14" w:history="1">
        <w:r>
          <w:rPr>
            <w:rStyle w:val="Hyperlink"/>
          </w:rPr>
          <w:t>RDAJ&amp;As.fct</w:t>
        </w:r>
        <w:r w:rsidRPr="00C9351A">
          <w:rPr>
            <w:rStyle w:val="Hyperlink"/>
          </w:rPr>
          <w:t>@navy.mil</w:t>
        </w:r>
      </w:hyperlink>
      <w:r w:rsidRPr="00C9351A">
        <w:t xml:space="preserve"> with the subject “</w:t>
      </w:r>
      <w:r>
        <w:t>[Activity Name] NMCARS 52</w:t>
      </w:r>
      <w:r w:rsidRPr="00C9351A">
        <w:t>33.9001 – Proposed Claim Settlement &gt;$25M</w:t>
      </w:r>
      <w:r>
        <w:t xml:space="preserve">.”  Other proposed claim settlements and final decisions of the contracting officer shall be reviewed and approved as specified by the HCA.  </w:t>
      </w:r>
    </w:p>
    <w:p w:rsidR="007E7EEB" w:rsidRDefault="007E7EEB" w:rsidP="00B72AB3">
      <w:pPr>
        <w:pStyle w:val="List1"/>
      </w:pPr>
      <w:r>
        <w:t>(b) The supporting documentation submitted to DASN(P) with respect to claim settlements or final decisions of a contracting officer shall include a legal memorandum.  As a minimum the required legal memorandum should:</w:t>
      </w:r>
    </w:p>
    <w:p w:rsidR="007E7EEB" w:rsidRDefault="007E7EEB" w:rsidP="007D1085">
      <w:r>
        <w:t xml:space="preserve">     (1) Analyze the applicability and adequacy of the contractor's legal theory or theories of Government liability;</w:t>
      </w:r>
    </w:p>
    <w:p w:rsidR="007E7EEB" w:rsidRDefault="007E7EEB" w:rsidP="007D1085">
      <w:r>
        <w:t xml:space="preserve">     (2) Analyze and evaluate the presence and adequacy of evidentiary facts satisfying the elements of proof required by such legal theory or theories;</w:t>
      </w:r>
    </w:p>
    <w:p w:rsidR="007E7EEB" w:rsidRDefault="007E7EEB" w:rsidP="007D1085">
      <w:r>
        <w:t xml:space="preserve">     (3) Analyze the applicability and adequacy of any affirmative defense the Government may have to the contractor's claim, e.g., accord and satisfaction, failure of consideration, fraud, release, laches, statute of limitations; and</w:t>
      </w:r>
    </w:p>
    <w:p w:rsidR="007E7EEB" w:rsidRDefault="007E7EEB" w:rsidP="007D1085">
      <w:r>
        <w:t xml:space="preserve">     (4) Analyze and evaluate the presence of any counterclaims the Government may have against the contractor.</w:t>
      </w:r>
    </w:p>
    <w:p w:rsidR="007E7EEB" w:rsidRDefault="007E7EEB" w:rsidP="00B72AB3">
      <w:pPr>
        <w:pStyle w:val="List1"/>
      </w:pPr>
      <w:r>
        <w:t xml:space="preserve">(c) No settlement commitment or final decision may be made prior to obtaining the required approval.  </w:t>
      </w:r>
    </w:p>
    <w:p w:rsidR="007E7EEB" w:rsidRDefault="007E7EEB" w:rsidP="00B72AB3">
      <w:pPr>
        <w:pStyle w:val="List1"/>
      </w:pPr>
      <w: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rsidR="007E7EEB" w:rsidRDefault="007E7EEB" w:rsidP="007D1085">
      <w:r>
        <w:t xml:space="preserve">     (1) A legal determination that the contractor is entitled to compensation.</w:t>
      </w:r>
    </w:p>
    <w:p w:rsidR="007E7EEB" w:rsidRDefault="007E7EEB" w:rsidP="007D1085">
      <w:r>
        <w:t xml:space="preserve">     (2) Sufficient technical, administrative, and audit analyses to permit such legal determination; and      </w:t>
      </w:r>
    </w:p>
    <w:p w:rsidR="007E7EEB" w:rsidRDefault="007E7EEB" w:rsidP="007D1085">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rsidR="007E7EEB" w:rsidRDefault="007E7EEB" w:rsidP="00B72AB3">
      <w:pPr>
        <w:pStyle w:val="List1"/>
      </w:pPr>
      <w:r>
        <w:t>(e) When a provisional payment, either individually or cumulatively against a single claim exceeds $25 million, a written justification shall be submitted for approval to DASN(P) by email at</w:t>
      </w:r>
      <w:r w:rsidRPr="00C9351A">
        <w:t xml:space="preserve"> </w:t>
      </w:r>
      <w:hyperlink r:id="rId15" w:history="1">
        <w:r>
          <w:rPr>
            <w:rStyle w:val="Hyperlink"/>
          </w:rPr>
          <w:t>RDAJ&amp;As.fct</w:t>
        </w:r>
        <w:r w:rsidRPr="00C9351A">
          <w:rPr>
            <w:rStyle w:val="Hyperlink"/>
          </w:rPr>
          <w:t>@navy.mil</w:t>
        </w:r>
      </w:hyperlink>
      <w:r w:rsidRPr="00C9351A">
        <w:t xml:space="preserve"> with the subject “</w:t>
      </w:r>
      <w:r>
        <w:t>[Activity Name]</w:t>
      </w:r>
      <w:r w:rsidRPr="00C9351A">
        <w:t xml:space="preserve"> </w:t>
      </w:r>
      <w:r>
        <w:t>NMCARS</w:t>
      </w:r>
      <w:r w:rsidRPr="00C9351A">
        <w:t xml:space="preserve"> </w:t>
      </w:r>
      <w:r>
        <w:t>52</w:t>
      </w:r>
      <w:r w:rsidRPr="00C9351A">
        <w:t>33.9001 – Proposed</w:t>
      </w:r>
      <w:r>
        <w:t xml:space="preserve"> </w:t>
      </w:r>
      <w:r w:rsidRPr="00C9351A">
        <w:t xml:space="preserve">Claim </w:t>
      </w:r>
      <w:r>
        <w:t>Provisional Payment</w:t>
      </w:r>
      <w:r w:rsidRPr="00C9351A">
        <w:t xml:space="preserve"> &gt;$25M.” </w:t>
      </w:r>
      <w:r>
        <w:t xml:space="preserve"> </w:t>
      </w:r>
    </w:p>
    <w:p w:rsidR="007E7EEB" w:rsidRDefault="007E7EEB" w:rsidP="007D1085">
      <w:r>
        <w:t xml:space="preserve"> The justification shall cover--</w:t>
      </w:r>
    </w:p>
    <w:p w:rsidR="007E7EEB" w:rsidRDefault="007E7EEB" w:rsidP="007D1085">
      <w:r>
        <w:t xml:space="preserve">     (1) the requirements of the claim;</w:t>
      </w:r>
    </w:p>
    <w:p w:rsidR="007E7EEB" w:rsidRDefault="007E7EEB" w:rsidP="007D1085">
      <w:r>
        <w:t xml:space="preserve">     (2) the projected date of settlement of the claim; and</w:t>
      </w:r>
    </w:p>
    <w:p w:rsidR="007E7EEB" w:rsidRDefault="007E7EEB" w:rsidP="007D1085">
      <w:r>
        <w:t xml:space="preserve">     (3) other pertinent information, including comments as to whether the contractor has reasonably satisfied all requests for documentary and analytical support of the claimed amount.</w:t>
      </w:r>
    </w:p>
    <w:p w:rsidR="007E7EEB" w:rsidRDefault="007E7EEB" w:rsidP="007D1085"/>
    <w:p w:rsidR="007E7EEB" w:rsidRDefault="007E7EEB" w:rsidP="007D1085">
      <w:pPr>
        <w:pStyle w:val="Heading3"/>
      </w:pPr>
      <w:bookmarkStart w:id="50" w:name="_Toc221088853"/>
      <w:bookmarkStart w:id="51" w:name="_Toc221944587"/>
      <w:bookmarkStart w:id="52" w:name="_Toc54782619"/>
      <w:r>
        <w:t>5233.9002 Contractor appeals to the Armed Services Board of Contract Appeals (ASBCA).</w:t>
      </w:r>
      <w:bookmarkEnd w:id="50"/>
      <w:bookmarkEnd w:id="51"/>
      <w:bookmarkEnd w:id="52"/>
    </w:p>
    <w:p w:rsidR="007E7EEB" w:rsidRDefault="007E7EEB" w:rsidP="007D1085">
      <w:r>
        <w:t xml:space="preserve">  (a) </w:t>
      </w:r>
      <w:r>
        <w:rPr>
          <w:i/>
        </w:rPr>
        <w:t>General</w:t>
      </w:r>
      <w:r>
        <w:t>.  The Office of the General Counsel (OGC) has sole litigation authority for all appeals under DON contracts to the ASBCA. Because of the frequent complexity of these cases, the OGC and the contracting activity involved should maintain the continuity of any DON claim team that might have investigated and evaluated the contractor's claim submission. Such teams should continue to function in an assisting capacity under the leadership of the OGC Trial Attorney assigned to handle the appeal.</w:t>
      </w:r>
    </w:p>
    <w:p w:rsidR="007E7EEB" w:rsidRDefault="007E7EEB" w:rsidP="00B72AB3">
      <w:pPr>
        <w:pStyle w:val="List1"/>
      </w:pPr>
      <w:r>
        <w:t xml:space="preserve">(b) </w:t>
      </w:r>
      <w:r w:rsidRPr="009F5A4D">
        <w:rPr>
          <w:i/>
        </w:rPr>
        <w:t>Litigation report requirement</w:t>
      </w:r>
      <w:r w:rsidRPr="009F5A4D">
        <w:t>.  With the compilation of Rule 4 documents, a comprehensive litigation report shall be forwarded to the Litigation Division.</w:t>
      </w:r>
      <w:r>
        <w:t xml:space="preserve"> The report should include:</w:t>
      </w:r>
    </w:p>
    <w:p w:rsidR="007E7EEB" w:rsidRDefault="007E7EEB" w:rsidP="007D1085">
      <w:r>
        <w:t xml:space="preserve">       (1)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rsidR="007E7EEB" w:rsidRDefault="007E7EEB" w:rsidP="007D1085">
      <w:r>
        <w:t xml:space="preserve">       (2)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rsidR="007E7EEB" w:rsidRDefault="007E7EEB" w:rsidP="007D1085">
      <w:r>
        <w:t xml:space="preserve">       (3) The advisory report, if any, of the reviewing official or board.</w:t>
      </w:r>
    </w:p>
    <w:p w:rsidR="007E7EEB" w:rsidRDefault="007E7EEB" w:rsidP="00B72AB3">
      <w:pPr>
        <w:pStyle w:val="List1"/>
      </w:pPr>
      <w:r>
        <w:t xml:space="preserve">(c) </w:t>
      </w:r>
      <w:r>
        <w:rPr>
          <w:i/>
        </w:rPr>
        <w:t>Settlement negotiations pending appeal</w:t>
      </w:r>
      <w: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rsidR="007E7EEB" w:rsidRDefault="007E7EEB" w:rsidP="00B72AB3">
      <w:pPr>
        <w:pStyle w:val="List1"/>
      </w:pPr>
      <w:r>
        <w:t xml:space="preserve">(d) </w:t>
      </w:r>
      <w:r>
        <w:rPr>
          <w:i/>
        </w:rPr>
        <w:t>Review and approval</w:t>
      </w:r>
      <w: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rsidR="007E7EEB" w:rsidRDefault="007E7EEB" w:rsidP="00B72AB3">
      <w:pPr>
        <w:pStyle w:val="List1"/>
      </w:pPr>
      <w:r>
        <w:t xml:space="preserve">(e) </w:t>
      </w:r>
      <w:r>
        <w:rPr>
          <w:i/>
        </w:rPr>
        <w:t>Contract modification</w:t>
      </w:r>
      <w:r>
        <w:t>.  Whenever contract modification and other contract documents are required to implement a settlement of ASBCA or appellate court decision, they should reference the ASBCA proceedings by title and docket number.</w:t>
      </w:r>
    </w:p>
    <w:p w:rsidR="007E7EEB" w:rsidRDefault="007E7EEB">
      <w:pPr>
        <w:rPr>
          <w:b/>
          <w:sz w:val="32"/>
        </w:rPr>
      </w:pPr>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EEB" w:rsidRDefault="007E7EEB">
      <w:r>
        <w:separator/>
      </w:r>
    </w:p>
  </w:endnote>
  <w:endnote w:type="continuationSeparator" w:id="0">
    <w:p w:rsidR="007E7EEB" w:rsidRDefault="007E7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EEB" w:rsidRDefault="007E7EEB">
      <w:r>
        <w:separator/>
      </w:r>
    </w:p>
  </w:footnote>
  <w:footnote w:type="continuationSeparator" w:id="0">
    <w:p w:rsidR="007E7EEB" w:rsidRDefault="007E7E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E7EEB"/>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4B86085-8B9F-49BF-848A-6EE6A40A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11692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