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5DF6" w:rsidRDefault="00F45DF6" w:rsidP="00F45DF6">
      <w:pPr>
        <w:pStyle w:val="Heading1"/>
        <w:tabs>
          <w:tab w:val="center" w:pos="4824"/>
          <w:tab w:val="left" w:pos="8463"/>
        </w:tabs>
      </w:pPr>
      <w:bookmarkStart w:id="0" w:name="_Toc58257256"/>
      <w:bookmarkStart w:id="1" w:name="_Toc221088563"/>
      <w:bookmarkStart w:id="2" w:name="_Toc221944296"/>
      <w:bookmarkStart w:id="3" w:name="_Toc54782365"/>
      <w:r>
        <w:t>PART 5204 ADMINISTRATIVE MATTERS</w:t>
      </w:r>
      <w:bookmarkStart w:id="4" w:name="_Toc58257257"/>
      <w:bookmarkStart w:id="5" w:name="_Toc221088564"/>
      <w:bookmarkStart w:id="6" w:name="_Toc221944297"/>
      <w:bookmarkStart w:id="7" w:name="_Toc501015341"/>
      <w:bookmarkStart w:id="8" w:name="_Toc58257259"/>
      <w:bookmarkStart w:id="9" w:name="_Toc221088566"/>
      <w:bookmarkStart w:id="10" w:name="_Toc221944299"/>
      <w:bookmarkEnd w:id="0"/>
      <w:bookmarkEnd w:id="1"/>
      <w:bookmarkEnd w:id="2"/>
      <w:bookmarkEnd w:id="3"/>
      <w:r>
        <w:t xml:space="preserve"> </w:t>
      </w:r>
    </w:p>
    <w:p w:rsidR="00F45DF6" w:rsidRPr="00B1230F" w:rsidRDefault="00F45DF6" w:rsidP="00F45DF6"/>
    <w:p w:rsidR="00F45DF6" w:rsidRDefault="00F45DF6" w:rsidP="00F45DF6">
      <w:pPr>
        <w:pStyle w:val="Heading2"/>
      </w:pPr>
      <w:bookmarkStart w:id="11" w:name="_Toc54782366"/>
      <w:r>
        <w:t>SUBPART 5204.2—CONTRACT DISTRIBUTION</w:t>
      </w:r>
      <w:bookmarkEnd w:id="4"/>
      <w:bookmarkEnd w:id="5"/>
      <w:bookmarkEnd w:id="6"/>
      <w:bookmarkEnd w:id="7"/>
      <w:bookmarkEnd w:id="11"/>
    </w:p>
    <w:p w:rsidR="00F45DF6" w:rsidRDefault="00F45DF6" w:rsidP="00F45DF6">
      <w:pPr>
        <w:pStyle w:val="Heading3"/>
      </w:pPr>
      <w:bookmarkStart w:id="12" w:name="_Toc54782367"/>
      <w:bookmarkStart w:id="13" w:name="_Toc58257258"/>
      <w:bookmarkStart w:id="14" w:name="_Toc221088565"/>
      <w:bookmarkStart w:id="15" w:name="_Toc221944298"/>
      <w:bookmarkStart w:id="16" w:name="_Toc501015342"/>
      <w:r>
        <w:t>5204.270 Electronic Data Access.</w:t>
      </w:r>
      <w:bookmarkEnd w:id="12"/>
    </w:p>
    <w:p w:rsidR="00F45DF6" w:rsidRDefault="00F45DF6" w:rsidP="00F45DF6">
      <w:pPr>
        <w:pStyle w:val="Heading4"/>
      </w:pPr>
      <w:r>
        <w:t>5204.270-1 Policy</w:t>
      </w:r>
      <w:bookmarkEnd w:id="13"/>
      <w:bookmarkEnd w:id="14"/>
      <w:bookmarkEnd w:id="15"/>
      <w:bookmarkEnd w:id="16"/>
      <w:r>
        <w:t>.</w:t>
      </w:r>
    </w:p>
    <w:p w:rsidR="00F45DF6" w:rsidRDefault="00F45DF6" w:rsidP="00F45DF6">
      <w:pPr>
        <w:pStyle w:val="Normalwline"/>
      </w:pPr>
      <w:r>
        <w:t xml:space="preserve">  </w:t>
      </w:r>
      <w:r w:rsidRPr="003F0739">
        <w:t xml:space="preserve"> (b)(1) DON activities shall upload a copy of each manually executed procurement instrument</w:t>
      </w:r>
      <w:r>
        <w:t xml:space="preserve"> </w:t>
      </w:r>
    </w:p>
    <w:p w:rsidR="00F45DF6" w:rsidRDefault="00F45DF6" w:rsidP="00F45DF6">
      <w:r>
        <w:t xml:space="preserve">(contract, purchase order, delivery order, modification, etc.), within six working days of execution, to the DoD Electronic Data Access (EDA).  </w:t>
      </w:r>
    </w:p>
    <w:p w:rsidR="00F45DF6" w:rsidRPr="00D963E0" w:rsidRDefault="00F45DF6" w:rsidP="00F45DF6"/>
    <w:p w:rsidR="00F45DF6" w:rsidRDefault="00F45DF6" w:rsidP="00F45DF6">
      <w:pPr>
        <w:pStyle w:val="Heading2"/>
      </w:pPr>
      <w:bookmarkStart w:id="17" w:name="_Toc54782368"/>
      <w:r>
        <w:t>SUBPART 5204.6—CONTRACT REPORTING</w:t>
      </w:r>
      <w:bookmarkEnd w:id="8"/>
      <w:bookmarkEnd w:id="9"/>
      <w:bookmarkEnd w:id="10"/>
      <w:bookmarkEnd w:id="17"/>
    </w:p>
    <w:p w:rsidR="00F45DF6" w:rsidRPr="00EB14A2" w:rsidRDefault="00F45DF6" w:rsidP="00F45DF6">
      <w:pPr>
        <w:pStyle w:val="Heading3"/>
      </w:pPr>
      <w:bookmarkStart w:id="18" w:name="_Toc58257260"/>
      <w:bookmarkStart w:id="19" w:name="_Toc221088567"/>
      <w:bookmarkStart w:id="20" w:name="_Toc221944300"/>
      <w:bookmarkStart w:id="21" w:name="_Toc54782369"/>
      <w:r w:rsidRPr="00D05317">
        <w:t>5204.6</w:t>
      </w:r>
      <w:r w:rsidRPr="00805497">
        <w:t>04</w:t>
      </w:r>
      <w:r w:rsidRPr="00CD4D4D">
        <w:t xml:space="preserve"> Responsibilities.</w:t>
      </w:r>
      <w:bookmarkEnd w:id="18"/>
      <w:bookmarkEnd w:id="19"/>
      <w:bookmarkEnd w:id="20"/>
      <w:bookmarkEnd w:id="21"/>
      <w:r w:rsidRPr="00CD4D4D">
        <w:t xml:space="preserve">  </w:t>
      </w:r>
    </w:p>
    <w:p w:rsidR="00F45DF6" w:rsidRPr="003F0A40" w:rsidRDefault="00F45DF6" w:rsidP="00F45DF6">
      <w:r w:rsidRPr="00D05317">
        <w:t xml:space="preserve">  </w:t>
      </w:r>
      <w:r>
        <w:t xml:space="preserve"> </w:t>
      </w:r>
      <w:r w:rsidRPr="00725535">
        <w:rPr>
          <w:rFonts w:cs="Courier New"/>
        </w:rPr>
        <w:t>(3)(i)</w:t>
      </w:r>
      <w:r w:rsidRPr="00725535">
        <w:t xml:space="preserve">  </w:t>
      </w:r>
      <w:bookmarkStart w:id="22"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1"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2"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F45DF6" w:rsidRPr="003F0A40" w:rsidRDefault="00F45DF6" w:rsidP="00F45DF6">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3"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4"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2"/>
    <w:p w:rsidR="00F45DF6" w:rsidRDefault="00F45DF6" w:rsidP="00F45DF6">
      <w:pPr>
        <w:widowControl w:val="0"/>
        <w:tabs>
          <w:tab w:val="left" w:pos="3690"/>
        </w:tabs>
      </w:pPr>
    </w:p>
    <w:p w:rsidR="00F45DF6" w:rsidRDefault="00F45DF6" w:rsidP="00F45DF6">
      <w:pPr>
        <w:pStyle w:val="Heading2"/>
      </w:pPr>
      <w:bookmarkStart w:id="23" w:name="_Toc58254642"/>
      <w:bookmarkStart w:id="24" w:name="_Toc58255082"/>
      <w:bookmarkStart w:id="25" w:name="_Toc190162242"/>
      <w:bookmarkStart w:id="26" w:name="_Toc221088568"/>
      <w:bookmarkStart w:id="27" w:name="_Toc221944301"/>
      <w:bookmarkStart w:id="28" w:name="_Toc54782370"/>
      <w:r>
        <w:t>SUBPART 5204.8—GOVERNMENT CONTRACT FILES</w:t>
      </w:r>
      <w:bookmarkEnd w:id="23"/>
      <w:bookmarkEnd w:id="24"/>
      <w:bookmarkEnd w:id="25"/>
      <w:bookmarkEnd w:id="26"/>
      <w:bookmarkEnd w:id="27"/>
      <w:bookmarkEnd w:id="28"/>
    </w:p>
    <w:p w:rsidR="00F45DF6" w:rsidRDefault="00F45DF6" w:rsidP="00F45DF6">
      <w:pPr>
        <w:pStyle w:val="Heading4"/>
      </w:pPr>
      <w:r>
        <w:t>5204.804 Closeout of contract files.</w:t>
      </w:r>
    </w:p>
    <w:p w:rsidR="00F45DF6" w:rsidRDefault="00F45DF6" w:rsidP="00F45DF6">
      <w:pPr>
        <w:pStyle w:val="Heading4"/>
        <w:rPr>
          <w:lang w:val="en"/>
        </w:rPr>
      </w:pPr>
      <w:r w:rsidRPr="00346290">
        <w:t xml:space="preserve">5204.804-1 </w:t>
      </w:r>
      <w:r w:rsidRPr="00346290">
        <w:rPr>
          <w:lang w:val="en"/>
        </w:rPr>
        <w:t>Closeout by the office administering the contract.</w:t>
      </w:r>
    </w:p>
    <w:p w:rsidR="00F45DF6" w:rsidRDefault="00F45DF6" w:rsidP="00F45DF6">
      <w:pPr>
        <w:rPr>
          <w:lang w:val="en"/>
        </w:rPr>
      </w:pPr>
      <w:r>
        <w:rPr>
          <w:lang w:val="en"/>
        </w:rPr>
        <w:t xml:space="preserve">   (a)(1)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F45DF6" w:rsidRDefault="00F45DF6" w:rsidP="00F45DF6">
      <w:r>
        <w:rPr>
          <w:lang w:val="en"/>
        </w:rPr>
        <w:t xml:space="preserve">   (S-90) Submit a monthly report in accordance with the ASN(RDA) memorandum entitled “Department of the Navy Contract Closeout Policy” dated April 12, 2019 in the format prescribed in Annex 24 to DASN(P) by email </w:t>
      </w:r>
      <w:hyperlink r:id="rId15"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 w:rsidR="00F45DF6" w:rsidRDefault="00F45DF6" w:rsidP="00F45DF6">
      <w:pPr>
        <w:pStyle w:val="Heading2"/>
      </w:pPr>
      <w:bookmarkStart w:id="29" w:name="_Toc54782371"/>
      <w:r>
        <w:t>SUBPART 5204.21-</w:t>
      </w:r>
      <w:r w:rsidRPr="005E2D11">
        <w:t>PROHIBITION ON CONTRACTING FOR CERTAIN TELECOMMUNICATIONS AND VIDEO SURVEILLANCE SERVICES OR EQUIPMENT</w:t>
      </w:r>
      <w:bookmarkEnd w:id="29"/>
    </w:p>
    <w:p w:rsidR="00F45DF6" w:rsidRDefault="00F45DF6" w:rsidP="00F45DF6">
      <w:pPr>
        <w:pStyle w:val="Heading3"/>
      </w:pPr>
      <w:bookmarkStart w:id="30" w:name="_Toc54782372"/>
      <w:bookmarkStart w:id="31" w:name="_Hlk51859169"/>
      <w:r>
        <w:t>5204.2103 Procedures.</w:t>
      </w:r>
      <w:bookmarkEnd w:id="30"/>
    </w:p>
    <w:p w:rsidR="00F45DF6" w:rsidRDefault="00F45DF6" w:rsidP="00F45DF6">
      <w:r>
        <w:t xml:space="preserve">   (a)(2)(iii)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F45DF6" w:rsidRDefault="00F45DF6" w:rsidP="00F45DF6"/>
    <w:p w:rsidR="00F45DF6" w:rsidRDefault="00F45DF6" w:rsidP="00F45DF6">
      <w:pPr>
        <w:pStyle w:val="Heading3"/>
      </w:pPr>
      <w:bookmarkStart w:id="32" w:name="_Toc54782373"/>
      <w:r>
        <w:t>5204.2104 Waivers.</w:t>
      </w:r>
      <w:bookmarkEnd w:id="32"/>
      <w:r>
        <w:tab/>
      </w:r>
    </w:p>
    <w:p w:rsidR="00F45DF6" w:rsidRPr="00CC70D8" w:rsidRDefault="00F45DF6" w:rsidP="00F45DF6">
      <w:pPr>
        <w:rPr>
          <w:szCs w:val="24"/>
        </w:rPr>
      </w:pPr>
      <w:r>
        <w:t xml:space="preserve">   </w:t>
      </w: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6"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  Waivers shall include:  </w:t>
      </w:r>
    </w:p>
    <w:p w:rsidR="00F45DF6" w:rsidRPr="00CC70D8" w:rsidRDefault="00F45DF6" w:rsidP="00F45DF6">
      <w:r>
        <w:t xml:space="preserve">      </w:t>
      </w:r>
      <w:r w:rsidRPr="00CC70D8">
        <w:t>(1) A compelling justification for the additional time to implement the requirements;</w:t>
      </w:r>
    </w:p>
    <w:p w:rsidR="00F45DF6" w:rsidRPr="00CC70D8" w:rsidRDefault="00F45DF6" w:rsidP="00F45DF6">
      <w:r>
        <w:t xml:space="preserve">      </w:t>
      </w:r>
      <w:r w:rsidRPr="00CC70D8">
        <w:t>(2) A full and complete laydown or description of the presences of covered telecommunications or video surveillance equipment or services in the relevant supply chain; and</w:t>
      </w:r>
    </w:p>
    <w:p w:rsidR="00F45DF6" w:rsidRDefault="00F45DF6" w:rsidP="00F45DF6">
      <w:r>
        <w:t xml:space="preserve">      </w:t>
      </w:r>
      <w:r w:rsidRPr="00CC70D8">
        <w:t>(3) A phase-out plan to eliminate such covered telecommunications equipment or services f</w:t>
      </w:r>
      <w:r>
        <w:t>rom</w:t>
      </w:r>
      <w:r w:rsidRPr="00CC70D8">
        <w:t xml:space="preserve"> the relevant systems.</w:t>
      </w:r>
    </w:p>
    <w:p w:rsidR="00F45DF6" w:rsidRPr="00CC70D8" w:rsidRDefault="00F45DF6" w:rsidP="00F45DF6">
      <w:r>
        <w:t xml:space="preserve">   </w:t>
      </w: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7"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1"/>
    <w:p w:rsidR="00F45DF6" w:rsidRPr="008A17B6" w:rsidRDefault="00F45DF6" w:rsidP="00F45DF6"/>
    <w:p w:rsidR="00F45DF6" w:rsidRDefault="00F45DF6" w:rsidP="00F45DF6">
      <w:pPr>
        <w:pStyle w:val="Heading2"/>
      </w:pPr>
      <w:bookmarkStart w:id="33" w:name="_Toc54782374"/>
      <w:r>
        <w:t>SUBPART 5204.73-SAFEGUARDING COVERED DEFENSE INFORMATION AND CYBER INCIDENT REPORTING</w:t>
      </w:r>
      <w:bookmarkEnd w:id="33"/>
    </w:p>
    <w:p w:rsidR="00F45DF6" w:rsidRDefault="00F45DF6" w:rsidP="00F45DF6">
      <w:pPr>
        <w:pStyle w:val="Heading3"/>
      </w:pPr>
      <w:bookmarkStart w:id="34" w:name="_Toc54782375"/>
      <w:r>
        <w:t>5204.7303 Procedures.</w:t>
      </w:r>
      <w:bookmarkEnd w:id="34"/>
    </w:p>
    <w:p w:rsidR="00F45DF6" w:rsidRDefault="00F45DF6" w:rsidP="00F45DF6">
      <w:pPr>
        <w:pStyle w:val="Heading4"/>
      </w:pPr>
      <w:r>
        <w:t>5204.7303-1 General.</w:t>
      </w:r>
    </w:p>
    <w:p w:rsidR="00F45DF6" w:rsidRPr="0019441D" w:rsidRDefault="00F45DF6" w:rsidP="00F45DF6">
      <w:pPr>
        <w:rPr>
          <w:szCs w:val="24"/>
        </w:rPr>
      </w:pPr>
      <w:r w:rsidRPr="000C4073">
        <w:t xml:space="preserve">  </w:t>
      </w:r>
      <w:r w:rsidRPr="0019441D">
        <w:rPr>
          <w:szCs w:val="24"/>
        </w:rPr>
        <w:t xml:space="preserve"> (b)</w:t>
      </w:r>
      <w:r w:rsidRPr="003C6ACC">
        <w:rPr>
          <w:szCs w:val="24"/>
        </w:rPr>
        <w:t xml:space="preserve"> </w:t>
      </w:r>
      <w:r w:rsidRPr="0019441D">
        <w:rPr>
          <w:szCs w:val="24"/>
        </w:rPr>
        <w:t>(S-90) As provided in the me</w:t>
      </w:r>
      <w:r w:rsidRPr="00A06A58">
        <w:t xml:space="preserve">morandum titled, “Updated Implementation of the DIB Memo” </w:t>
      </w:r>
      <w:r>
        <w:t>dated 06</w:t>
      </w:r>
      <w:r w:rsidRPr="00A06A58">
        <w:t xml:space="preserve"> September 2019, the DON recognizes the ongoing efforts within the DOD to protect controlled unclassified information and unclassified networks.  In the interim, </w:t>
      </w:r>
      <w:r>
        <w:t xml:space="preserve">the </w:t>
      </w:r>
      <w:r w:rsidRPr="00A06A58">
        <w:t>contracting officer</w:t>
      </w:r>
      <w:r>
        <w:t xml:space="preserve"> </w:t>
      </w:r>
      <w:r w:rsidRPr="00A06A58">
        <w:t>shall -</w:t>
      </w:r>
    </w:p>
    <w:p w:rsidR="00F45DF6" w:rsidRPr="0019441D" w:rsidRDefault="00F45DF6" w:rsidP="00F45DF6">
      <w:pPr>
        <w:rPr>
          <w:szCs w:val="24"/>
        </w:rPr>
      </w:pPr>
      <w:r w:rsidRPr="0019441D">
        <w:rPr>
          <w:szCs w:val="24"/>
        </w:rPr>
        <w:t xml:space="preserve">     </w:t>
      </w:r>
      <w:r>
        <w:rPr>
          <w:szCs w:val="24"/>
        </w:rPr>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F45DF6" w:rsidRDefault="00F45DF6" w:rsidP="00F45DF6">
      <w:pPr>
        <w:rPr>
          <w:szCs w:val="24"/>
        </w:rPr>
      </w:pPr>
      <w:r>
        <w:rPr>
          <w:szCs w:val="24"/>
        </w:rPr>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F45DF6" w:rsidRDefault="00F45DF6" w:rsidP="00F45DF6">
      <w:pPr>
        <w:rPr>
          <w:szCs w:val="24"/>
        </w:rPr>
      </w:pPr>
      <w:r>
        <w:rPr>
          <w:szCs w:val="24"/>
        </w:rPr>
        <w:t xml:space="preserve">       (c)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rsidR="00F45DF6" w:rsidRDefault="00F45DF6" w:rsidP="00F45DF6">
      <w:pPr>
        <w:ind w:firstLine="72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F45DF6" w:rsidRDefault="00F45DF6" w:rsidP="00F45DF6">
      <w:pPr>
        <w:rPr>
          <w:szCs w:val="24"/>
        </w:rPr>
      </w:pPr>
      <w:r>
        <w:rPr>
          <w:szCs w:val="24"/>
        </w:rPr>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F45DF6" w:rsidRDefault="00F45DF6" w:rsidP="00F45DF6">
      <w:pPr>
        <w:rPr>
          <w:szCs w:val="24"/>
        </w:rPr>
      </w:pPr>
      <w:r>
        <w:rPr>
          <w:szCs w:val="24"/>
        </w:rPr>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F45DF6" w:rsidRDefault="00F45DF6" w:rsidP="00F45DF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F45DF6" w:rsidRDefault="00F45DF6" w:rsidP="00F45DF6">
      <w:pPr>
        <w:rPr>
          <w:szCs w:val="24"/>
        </w:rPr>
      </w:pPr>
      <w:r>
        <w:rPr>
          <w:szCs w:val="24"/>
        </w:rP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5DF6" w:rsidRDefault="00F45DF6">
      <w:r>
        <w:separator/>
      </w:r>
    </w:p>
  </w:endnote>
  <w:endnote w:type="continuationSeparator" w:id="0">
    <w:p w:rsidR="00F45DF6" w:rsidRDefault="00F4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5DF6" w:rsidRDefault="00F45DF6">
      <w:r>
        <w:separator/>
      </w:r>
    </w:p>
  </w:footnote>
  <w:footnote w:type="continuationSeparator" w:id="0">
    <w:p w:rsidR="00F45DF6" w:rsidRDefault="00F45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5DF6"/>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pdi/eb/dataimp.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pdi/eb/dataimp.htm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7019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