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E0A" w:rsidRDefault="003F3E0A" w:rsidP="003F3E0A">
      <w:pPr>
        <w:pStyle w:val="Heading1"/>
      </w:pPr>
      <w:bookmarkStart w:id="0" w:name="_Toc58257263"/>
      <w:bookmarkStart w:id="1" w:name="_Toc221088573"/>
      <w:bookmarkStart w:id="2" w:name="_Toc221944306"/>
      <w:bookmarkStart w:id="3" w:name="_Toc74296153"/>
      <w:r>
        <w:t>PART 5205 PUBLICIZING CONTRACT ACTIONS</w:t>
      </w:r>
      <w:bookmarkEnd w:id="0"/>
      <w:bookmarkEnd w:id="1"/>
      <w:bookmarkEnd w:id="2"/>
      <w:bookmarkEnd w:id="3"/>
    </w:p>
    <w:p w:rsidR="003F3E0A" w:rsidRDefault="003F3E0A" w:rsidP="003F3E0A">
      <w:pPr>
        <w:pStyle w:val="Heading2"/>
      </w:pPr>
      <w:bookmarkStart w:id="4" w:name="_Toc58257266"/>
      <w:bookmarkStart w:id="5" w:name="_Toc221088576"/>
      <w:bookmarkStart w:id="6" w:name="_Toc221944309"/>
      <w:bookmarkStart w:id="7" w:name="_Toc74296154"/>
      <w:r>
        <w:t>SUBPART 5205.3—SYNOPSES OF CONTRACT AWARDS</w:t>
      </w:r>
      <w:bookmarkEnd w:id="4"/>
      <w:bookmarkEnd w:id="5"/>
      <w:bookmarkEnd w:id="6"/>
      <w:bookmarkEnd w:id="7"/>
    </w:p>
    <w:p w:rsidR="003F3E0A" w:rsidRDefault="003F3E0A" w:rsidP="003F3E0A">
      <w:pPr>
        <w:pStyle w:val="Heading3"/>
      </w:pPr>
      <w:bookmarkStart w:id="8" w:name="_Toc58257267"/>
      <w:bookmarkStart w:id="9" w:name="_Toc221088577"/>
      <w:bookmarkStart w:id="10" w:name="_Toc221944310"/>
      <w:bookmarkStart w:id="11" w:name="_Toc74296155"/>
      <w:r w:rsidRPr="00346290">
        <w:t>5205.303 Announcement of contract awards.</w:t>
      </w:r>
      <w:bookmarkEnd w:id="8"/>
      <w:bookmarkEnd w:id="9"/>
      <w:bookmarkEnd w:id="10"/>
      <w:bookmarkEnd w:id="11"/>
    </w:p>
    <w:p w:rsidR="003F3E0A" w:rsidRDefault="003F3E0A" w:rsidP="003F3E0A">
      <w:pPr>
        <w:pStyle w:val="List1"/>
      </w:pPr>
      <w:r>
        <w:t xml:space="preserve">(a) </w:t>
      </w:r>
      <w:r>
        <w:rPr>
          <w:i/>
        </w:rPr>
        <w:t>Public Announcement</w:t>
      </w:r>
      <w:r>
        <w:t>.</w:t>
      </w:r>
    </w:p>
    <w:p w:rsidR="003F3E0A" w:rsidRDefault="003F3E0A" w:rsidP="003F3E0A">
      <w:pPr>
        <w:pStyle w:val="List2"/>
      </w:pPr>
      <w:r>
        <w:t xml:space="preserve">(i)  Report orders or modifications issued by </w:t>
      </w:r>
      <w:r w:rsidRPr="00746A0E">
        <w:t>CAOs t</w:t>
      </w:r>
      <w:r>
        <w:t>hat exceed the threshold.</w:t>
      </w:r>
    </w:p>
    <w:p w:rsidR="003F3E0A" w:rsidRDefault="003F3E0A" w:rsidP="003F3E0A">
      <w:pPr>
        <w:pStyle w:val="List2"/>
      </w:pPr>
      <w:r>
        <w:t>(ii) Submit announcement information to the Navy Chief of Information (CHINFO).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</w:t>
      </w:r>
      <w:r w:rsidRPr="00746A0E">
        <w:t xml:space="preserve">(S-90) </w:t>
      </w:r>
      <w:r w:rsidRPr="00746A0E">
        <w:rPr>
          <w:i/>
        </w:rPr>
        <w:t>Security review</w:t>
      </w:r>
      <w:r>
        <w:t xml:space="preserve">. </w:t>
      </w:r>
      <w:r w:rsidRPr="00746A0E">
        <w:t>Routine contract announcements are exempt from the security review process. However, full security review is required for contract announcements that are</w:t>
      </w:r>
      <w:r>
        <w:t xml:space="preserve"> </w:t>
      </w:r>
      <w:r w:rsidRPr="00746A0E">
        <w:t>accompanied by amplifying press releases.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(S-91) </w:t>
      </w:r>
      <w:r>
        <w:rPr>
          <w:i/>
        </w:rPr>
        <w:t>Format</w:t>
      </w:r>
      <w:r>
        <w:t>. To provide for a better understanding by the public, contracting activities should explain in public announcements the specific type of contracting action being awarded (i.e., state that the DON has “awarded a contract”, “exercised an option" or “negotiated a modification" to a contract). Sample formats of announcements for contract modifications are illustrated below. Formats may be altered to suit the circumstances of the contracting action.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          (a) Contract award. (Name of contractor, city, state) ______________________ was awarded Contract No. </w:t>
      </w:r>
      <w:r>
        <w:rPr>
          <w:u w:val="single"/>
        </w:rPr>
        <w:t xml:space="preserve">                              </w:t>
      </w:r>
      <w:r>
        <w:t xml:space="preserve"> issued by the (activity)</w:t>
      </w:r>
      <w:r>
        <w:rPr>
          <w:u w:val="single"/>
        </w:rPr>
        <w:t xml:space="preserve">                        </w:t>
      </w:r>
      <w:r>
        <w:t xml:space="preserve">. The contract was awarded in the amount of $ </w:t>
      </w:r>
      <w:r>
        <w:rPr>
          <w:u w:val="single"/>
        </w:rPr>
        <w:t xml:space="preserve">                    </w:t>
      </w:r>
      <w:r>
        <w:t>.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          (b) Contract modification. (Name of contractor, city, state) _________________ is receiving modification number _____________________ to previously awarded Contract No. issued by the (activity) </w:t>
      </w:r>
      <w:r>
        <w:rPr>
          <w:u w:val="single"/>
        </w:rPr>
        <w:t xml:space="preserve">                                 </w:t>
      </w:r>
      <w:r>
        <w:t xml:space="preserve">. This modification increases the value of the basic contract by $ </w:t>
      </w:r>
      <w:r>
        <w:rPr>
          <w:u w:val="single"/>
        </w:rPr>
        <w:t xml:space="preserve">                    </w:t>
      </w:r>
      <w:r>
        <w:t>, the new total value is $</w:t>
      </w:r>
      <w:r>
        <w:rPr>
          <w:u w:val="single"/>
        </w:rPr>
        <w:t xml:space="preserve">                </w:t>
      </w:r>
      <w:r>
        <w:t>. Insert an explanatory statement similar to one of the following as appropriate: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              (1) This modification adds the (# of increment, </w:t>
      </w:r>
      <w:r>
        <w:rPr>
          <w:i/>
        </w:rPr>
        <w:t>i.e.</w:t>
      </w:r>
      <w:r>
        <w:t>, second, third, etc.) increment of the (length of multi</w:t>
      </w:r>
      <w:r>
        <w:noBreakHyphen/>
        <w:t xml:space="preserve">year contract, </w:t>
      </w:r>
      <w:r>
        <w:rPr>
          <w:i/>
        </w:rPr>
        <w:t>i.e.</w:t>
      </w:r>
      <w:r>
        <w:t>, three, four, etc.) year multi</w:t>
      </w:r>
      <w:r>
        <w:noBreakHyphen/>
        <w:t>year basic contract.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              (2) This modification provides for the purchase of an additional quantity of (quantity and item, </w:t>
      </w:r>
      <w:r>
        <w:rPr>
          <w:i/>
        </w:rPr>
        <w:t>e.g.</w:t>
      </w:r>
      <w:r>
        <w:t>, 500 widgets) being produced under the basic contract. (If appropriate, indicate that the contracting action is the result of a competitive negotiated procurement).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              (3) This modification provides for the exercise of an option for an additional quantity of (quantity and item, e.g., 200 gadgets) being produced under the basic contract.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              (4) This modification changes the specifications for the (indicate item(s)) being produced under the basic contract. The contractor indicates that the work (is being) (will be) performed at (city and state).</w:t>
      </w:r>
    </w:p>
    <w:p w:rsidR="003F3E0A" w:rsidRDefault="003F3E0A" w:rsidP="003F3E0A">
      <w:pPr>
        <w:pStyle w:val="List4"/>
      </w:pPr>
      <w:r>
        <w:br/>
        <w:t xml:space="preserve">(D)(5) </w:t>
      </w:r>
      <w:r>
        <w:rPr>
          <w:i/>
        </w:rPr>
        <w:t>Miscellaneous data</w:t>
      </w:r>
      <w:r>
        <w:t>. Include: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     (a) a statement that the information contained in the announcement is unclassified;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     (b) any areas of sensitivity or high-level interest;</w:t>
      </w:r>
    </w:p>
    <w:p w:rsidR="003F3E0A" w:rsidRDefault="003F3E0A" w:rsidP="003F3E0A">
      <w:r>
        <w:t xml:space="preserve">                  (c) indication of appropriate coordination to ensure the accuracy of the wording and data to be released.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     (d) the estimated period of performance or delivery schedule.</w:t>
      </w:r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                (e) the amount of any of the obligated funds that would have expired at the end of the current fiscal year.</w:t>
      </w:r>
    </w:p>
    <w:p w:rsidR="003F3E0A" w:rsidRDefault="003F3E0A" w:rsidP="003F3E0A">
      <w:pPr>
        <w:widowControl w:val="0"/>
        <w:tabs>
          <w:tab w:val="left" w:pos="3690"/>
        </w:tabs>
      </w:pPr>
    </w:p>
    <w:p w:rsidR="003F3E0A" w:rsidRDefault="003F3E0A" w:rsidP="003F3E0A">
      <w:pPr>
        <w:pStyle w:val="Heading2"/>
      </w:pPr>
      <w:bookmarkStart w:id="12" w:name="_Toc58257268"/>
      <w:bookmarkStart w:id="13" w:name="_Toc221088578"/>
      <w:bookmarkStart w:id="14" w:name="_Toc221944311"/>
      <w:bookmarkStart w:id="15" w:name="_Toc74296156"/>
      <w:r>
        <w:t>SUBPART 5205.4—RELEASE OF INFORMATION</w:t>
      </w:r>
      <w:bookmarkEnd w:id="12"/>
      <w:bookmarkEnd w:id="13"/>
      <w:bookmarkEnd w:id="14"/>
      <w:bookmarkEnd w:id="15"/>
    </w:p>
    <w:p w:rsidR="003F3E0A" w:rsidRDefault="003F3E0A" w:rsidP="003F3E0A">
      <w:pPr>
        <w:pStyle w:val="Heading3"/>
      </w:pPr>
      <w:bookmarkStart w:id="16" w:name="_Toc58257269"/>
      <w:bookmarkStart w:id="17" w:name="_Toc221088579"/>
      <w:bookmarkStart w:id="18" w:name="_Toc221944312"/>
      <w:bookmarkStart w:id="19" w:name="_Toc74296157"/>
      <w:r>
        <w:t>5205.404 Release of long</w:t>
      </w:r>
      <w:r>
        <w:noBreakHyphen/>
        <w:t>range acquisition forecasts.</w:t>
      </w:r>
      <w:bookmarkEnd w:id="16"/>
      <w:bookmarkEnd w:id="17"/>
      <w:bookmarkEnd w:id="18"/>
      <w:bookmarkEnd w:id="19"/>
    </w:p>
    <w:p w:rsidR="003F3E0A" w:rsidRPr="00EC7E67" w:rsidRDefault="003F3E0A" w:rsidP="003F3E0A">
      <w:r>
        <w:t xml:space="preserve">   Submit an annual long-range acquisition forecast, using the format provided in Annex 25, to DASN(P) by email </w:t>
      </w:r>
      <w:r w:rsidRPr="007067AF">
        <w:t xml:space="preserve">at </w:t>
      </w:r>
      <w:hyperlink r:id="rId11" w:history="1">
        <w:r w:rsidRPr="007067AF">
          <w:t>RDAJ&amp;As.fct@navy.mil</w:t>
        </w:r>
      </w:hyperlink>
      <w:r w:rsidRPr="007067AF">
        <w:t xml:space="preserve"> </w:t>
      </w:r>
      <w:r>
        <w:t xml:space="preserve">with the subject “[Activity Name] FAR 5.404 Long Range Acquisition Forecast” by June 20. </w:t>
      </w:r>
    </w:p>
    <w:p w:rsidR="003F3E0A" w:rsidRDefault="003F3E0A" w:rsidP="003F3E0A">
      <w:pPr>
        <w:pStyle w:val="Heading4"/>
      </w:pPr>
      <w:bookmarkStart w:id="20" w:name="_Toc58257270"/>
      <w:bookmarkStart w:id="21" w:name="_Toc221088580"/>
      <w:bookmarkStart w:id="22" w:name="_Toc221944313"/>
      <w:r>
        <w:t>5205.404-1 Release procedures.</w:t>
      </w:r>
      <w:bookmarkEnd w:id="20"/>
      <w:bookmarkEnd w:id="21"/>
      <w:bookmarkEnd w:id="22"/>
    </w:p>
    <w:p w:rsidR="003F3E0A" w:rsidRDefault="003F3E0A" w:rsidP="003F3E0A">
      <w:pPr>
        <w:widowControl w:val="0"/>
        <w:tabs>
          <w:tab w:val="left" w:pos="3690"/>
        </w:tabs>
      </w:pPr>
      <w:r>
        <w:t xml:space="preserve">  (a) </w:t>
      </w:r>
      <w:r>
        <w:rPr>
          <w:i/>
        </w:rPr>
        <w:t>Application</w:t>
      </w:r>
      <w:r>
        <w:t>. The agency head designates the HCA as the official who may, in addition to the agency head, release long</w:t>
      </w:r>
      <w:r>
        <w:noBreakHyphen/>
        <w:t xml:space="preserve">range acquisition estimates. </w:t>
      </w:r>
    </w:p>
    <w:p w:rsidR="003F3E0A" w:rsidRDefault="003F3E0A" w:rsidP="003F3E0A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3E0A" w:rsidRDefault="003F3E0A">
      <w:r>
        <w:separator/>
      </w:r>
    </w:p>
  </w:endnote>
  <w:endnote w:type="continuationSeparator" w:id="0">
    <w:p w:rsidR="003F3E0A" w:rsidRDefault="003F3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3E0A" w:rsidRDefault="003F3E0A">
      <w:r>
        <w:separator/>
      </w:r>
    </w:p>
  </w:footnote>
  <w:footnote w:type="continuationSeparator" w:id="0">
    <w:p w:rsidR="003F3E0A" w:rsidRDefault="003F3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E0A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3767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