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B94" w:rsidRDefault="00C92B94" w:rsidP="00C92B94">
      <w:pPr>
        <w:pStyle w:val="Heading1"/>
      </w:pPr>
      <w:bookmarkStart w:id="0" w:name="_Toc74296367"/>
      <w:r>
        <w:t>PART 5230 COST ACCOUNTING STANDARDS ADMINISTRATION</w:t>
      </w:r>
      <w:bookmarkEnd w:id="0"/>
    </w:p>
    <w:p w:rsidR="00C92B94" w:rsidRDefault="00C92B94" w:rsidP="00C92B94">
      <w:pPr>
        <w:pStyle w:val="Heading2"/>
      </w:pPr>
      <w:bookmarkStart w:id="1" w:name="_Toc58254759"/>
      <w:bookmarkStart w:id="2" w:name="_Toc58255199"/>
      <w:bookmarkStart w:id="3" w:name="_Toc190162362"/>
      <w:bookmarkStart w:id="4" w:name="_Toc221088805"/>
      <w:bookmarkStart w:id="5" w:name="_Toc221944539"/>
      <w:bookmarkStart w:id="6" w:name="_Toc74296368"/>
      <w:r>
        <w:t>SUBPART 5230.2—CAS PROGRAM REQUIREMENTS</w:t>
      </w:r>
      <w:bookmarkEnd w:id="1"/>
      <w:bookmarkEnd w:id="2"/>
      <w:bookmarkEnd w:id="3"/>
      <w:bookmarkEnd w:id="4"/>
      <w:bookmarkEnd w:id="5"/>
      <w:bookmarkEnd w:id="6"/>
    </w:p>
    <w:p w:rsidR="00C92B94" w:rsidRDefault="00C92B94" w:rsidP="00C92B94">
      <w:pPr>
        <w:pStyle w:val="Heading3"/>
      </w:pPr>
      <w:bookmarkStart w:id="7" w:name="_Toc58254760"/>
      <w:bookmarkStart w:id="8" w:name="_Toc58255200"/>
      <w:bookmarkStart w:id="9" w:name="_Toc190162363"/>
      <w:bookmarkStart w:id="10" w:name="_Toc221088806"/>
      <w:bookmarkStart w:id="11" w:name="_Toc221944540"/>
      <w:bookmarkStart w:id="12" w:name="_Toc74296369"/>
      <w:r>
        <w:t>5230.201 Contract requirements.</w:t>
      </w:r>
      <w:bookmarkEnd w:id="7"/>
      <w:bookmarkEnd w:id="8"/>
      <w:bookmarkEnd w:id="9"/>
      <w:bookmarkEnd w:id="10"/>
      <w:bookmarkEnd w:id="11"/>
      <w:bookmarkEnd w:id="12"/>
    </w:p>
    <w:p w:rsidR="00C92B94" w:rsidRDefault="00C92B94" w:rsidP="00C92B94">
      <w:pPr>
        <w:pStyle w:val="Heading4"/>
      </w:pPr>
      <w:bookmarkStart w:id="13" w:name="_Toc58254761"/>
      <w:bookmarkStart w:id="14" w:name="_Toc58255201"/>
      <w:bookmarkStart w:id="15" w:name="_Toc190162364"/>
      <w:bookmarkStart w:id="16" w:name="_Toc221088807"/>
      <w:bookmarkStart w:id="17" w:name="_Toc221944541"/>
      <w:r>
        <w:t>5230.201-5 Waiver.</w:t>
      </w:r>
      <w:bookmarkEnd w:id="13"/>
      <w:bookmarkEnd w:id="14"/>
      <w:bookmarkEnd w:id="15"/>
      <w:bookmarkEnd w:id="16"/>
      <w:bookmarkEnd w:id="17"/>
      <w:r>
        <w:t xml:space="preserve"> </w:t>
      </w:r>
    </w:p>
    <w:p w:rsidR="00C92B94" w:rsidRDefault="00C92B94" w:rsidP="00C92B94">
      <w:pPr>
        <w:pStyle w:val="List1"/>
      </w:pPr>
      <w:r>
        <w:t xml:space="preserve">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C92B94" w:rsidRPr="00013757" w:rsidRDefault="00C92B94" w:rsidP="00C92B94">
      <w:pPr>
        <w:pStyle w:val="List1"/>
      </w:pP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C92B94" w:rsidRDefault="00C92B94" w:rsidP="00C92B94">
      <w:pPr>
        <w:widowControl w:val="0"/>
        <w:rPr>
          <w:color w:val="000000"/>
        </w:rPr>
      </w:pPr>
    </w:p>
    <w:p w:rsidR="00C92B94" w:rsidRDefault="00C92B94" w:rsidP="00C92B94">
      <w:pPr>
        <w:pStyle w:val="Heading3"/>
      </w:pPr>
      <w:bookmarkStart w:id="18" w:name="_Toc58254762"/>
      <w:bookmarkStart w:id="19" w:name="_Toc58255202"/>
      <w:bookmarkStart w:id="20" w:name="_Toc190162365"/>
      <w:bookmarkStart w:id="21" w:name="_Toc221088808"/>
      <w:bookmarkStart w:id="22" w:name="_Toc221944542"/>
      <w:bookmarkStart w:id="23" w:name="_Toc74296370"/>
      <w:r>
        <w:t>5230.202 Disclosure requirements.</w:t>
      </w:r>
      <w:bookmarkEnd w:id="18"/>
      <w:bookmarkEnd w:id="19"/>
      <w:bookmarkEnd w:id="20"/>
      <w:bookmarkEnd w:id="21"/>
      <w:bookmarkEnd w:id="22"/>
      <w:bookmarkEnd w:id="23"/>
    </w:p>
    <w:p w:rsidR="00C92B94" w:rsidRDefault="00C92B94" w:rsidP="00C92B94">
      <w:pPr>
        <w:pStyle w:val="Heading4"/>
      </w:pPr>
      <w:bookmarkStart w:id="24" w:name="_Toc58254763"/>
      <w:bookmarkStart w:id="25" w:name="_Toc58255203"/>
      <w:bookmarkStart w:id="26" w:name="_Toc190162366"/>
      <w:bookmarkStart w:id="27" w:name="_Toc221088809"/>
      <w:bookmarkStart w:id="28" w:name="_Toc221944543"/>
      <w:r>
        <w:t>5230.202-2 Impracticability of submission.</w:t>
      </w:r>
      <w:bookmarkEnd w:id="24"/>
      <w:bookmarkEnd w:id="25"/>
      <w:bookmarkEnd w:id="26"/>
      <w:bookmarkEnd w:id="27"/>
      <w:bookmarkEnd w:id="28"/>
    </w:p>
    <w:p w:rsidR="00C92B94" w:rsidRDefault="00C92B94" w:rsidP="00C92B94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C92B94" w:rsidRDefault="00C92B94" w:rsidP="00C92B9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B94" w:rsidRDefault="00C92B94">
      <w:r>
        <w:separator/>
      </w:r>
    </w:p>
  </w:endnote>
  <w:endnote w:type="continuationSeparator" w:id="0">
    <w:p w:rsidR="00C92B94" w:rsidRDefault="00C9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B94" w:rsidRDefault="00C92B94">
      <w:r>
        <w:separator/>
      </w:r>
    </w:p>
  </w:footnote>
  <w:footnote w:type="continuationSeparator" w:id="0">
    <w:p w:rsidR="00C92B94" w:rsidRDefault="00C92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B94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