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724" w:rsidRDefault="00257724" w:rsidP="00B44BE7">
      <w:pPr>
        <w:pStyle w:val="Heading1"/>
      </w:pPr>
      <w:bookmarkStart w:id="0" w:name="_Toc54782585"/>
      <w:bookmarkStart w:id="1" w:name="_GoBack"/>
      <w:bookmarkEnd w:id="1"/>
      <w:r>
        <w:t>PART 5230 COST ACCOUNTING STANDARDS ADMINISTRATION</w:t>
      </w:r>
      <w:bookmarkEnd w:id="0"/>
    </w:p>
    <w:p w:rsidR="00257724" w:rsidRDefault="00257724" w:rsidP="00B44BE7">
      <w:pPr>
        <w:pStyle w:val="Heading2"/>
      </w:pPr>
      <w:bookmarkStart w:id="2" w:name="_Toc58254759"/>
      <w:bookmarkStart w:id="3" w:name="_Toc58255199"/>
      <w:bookmarkStart w:id="4" w:name="_Toc190162362"/>
      <w:bookmarkStart w:id="5" w:name="_Toc221088805"/>
      <w:bookmarkStart w:id="6" w:name="_Toc221944539"/>
      <w:bookmarkStart w:id="7" w:name="_Toc54782586"/>
      <w:r>
        <w:t>SUBPART 5230.2—CAS PROGRAM REQUIREMENTS</w:t>
      </w:r>
      <w:bookmarkEnd w:id="2"/>
      <w:bookmarkEnd w:id="3"/>
      <w:bookmarkEnd w:id="4"/>
      <w:bookmarkEnd w:id="5"/>
      <w:bookmarkEnd w:id="6"/>
      <w:bookmarkEnd w:id="7"/>
    </w:p>
    <w:p w:rsidR="00257724" w:rsidRDefault="00257724" w:rsidP="00B44BE7">
      <w:pPr>
        <w:pStyle w:val="Heading3"/>
      </w:pPr>
      <w:bookmarkStart w:id="8" w:name="_Toc58254760"/>
      <w:bookmarkStart w:id="9" w:name="_Toc58255200"/>
      <w:bookmarkStart w:id="10" w:name="_Toc190162363"/>
      <w:bookmarkStart w:id="11" w:name="_Toc221088806"/>
      <w:bookmarkStart w:id="12" w:name="_Toc221944540"/>
      <w:bookmarkStart w:id="13" w:name="_Toc54782587"/>
      <w:r>
        <w:t>5230.201 Contract requirements.</w:t>
      </w:r>
      <w:bookmarkEnd w:id="8"/>
      <w:bookmarkEnd w:id="9"/>
      <w:bookmarkEnd w:id="10"/>
      <w:bookmarkEnd w:id="11"/>
      <w:bookmarkEnd w:id="12"/>
      <w:bookmarkEnd w:id="13"/>
    </w:p>
    <w:p w:rsidR="00257724" w:rsidRDefault="00257724" w:rsidP="00B44BE7">
      <w:pPr>
        <w:pStyle w:val="Heading4"/>
      </w:pPr>
      <w:bookmarkStart w:id="14" w:name="_Toc58254761"/>
      <w:bookmarkStart w:id="15" w:name="_Toc58255201"/>
      <w:bookmarkStart w:id="16" w:name="_Toc190162364"/>
      <w:bookmarkStart w:id="17" w:name="_Toc221088807"/>
      <w:bookmarkStart w:id="18" w:name="_Toc221944541"/>
      <w:r>
        <w:t>5230.201-5 Waiver.</w:t>
      </w:r>
      <w:bookmarkEnd w:id="14"/>
      <w:bookmarkEnd w:id="15"/>
      <w:bookmarkEnd w:id="16"/>
      <w:bookmarkEnd w:id="17"/>
      <w:bookmarkEnd w:id="18"/>
      <w:r>
        <w:t xml:space="preserve"> </w:t>
      </w:r>
    </w:p>
    <w:p w:rsidR="00257724" w:rsidRDefault="00257724" w:rsidP="00B72AB3">
      <w:pPr>
        <w:pStyle w:val="List1"/>
      </w:pPr>
      <w:r>
        <w:t xml:space="preserve">(b) and (d) Submit waiver requests to DASN(P) at least 60 days prior to anticipated contract </w:t>
      </w:r>
      <w:r>
        <w:rPr>
          <w:color w:val="000000"/>
        </w:rPr>
        <w:t>award by email at</w:t>
      </w:r>
      <w:r w:rsidRPr="00013757">
        <w:rPr>
          <w:color w:val="000000"/>
        </w:rPr>
        <w:t xml:space="preserve"> </w:t>
      </w:r>
      <w:hyperlink r:id="rId12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 – CAS Waiver Request.”</w:t>
      </w:r>
      <w:r>
        <w:rPr>
          <w:color w:val="000000"/>
        </w:rPr>
        <w:t xml:space="preserve">  Include the estimated date of contract award. </w:t>
      </w:r>
    </w:p>
    <w:p w:rsidR="00257724" w:rsidRPr="00013757" w:rsidRDefault="00257724" w:rsidP="00B72AB3">
      <w:pPr>
        <w:pStyle w:val="List1"/>
      </w:pPr>
      <w:r w:rsidRPr="00013757">
        <w:rPr>
          <w:color w:val="000000"/>
        </w:rPr>
        <w:t xml:space="preserve">(e)  Submit reports via </w:t>
      </w:r>
      <w:r>
        <w:rPr>
          <w:color w:val="000000"/>
        </w:rPr>
        <w:t>DASN(P)</w:t>
      </w:r>
      <w:r w:rsidRPr="00013757">
        <w:rPr>
          <w:color w:val="000000"/>
        </w:rPr>
        <w:t xml:space="preserve"> no later than November 15 </w:t>
      </w:r>
      <w:r>
        <w:rPr>
          <w:color w:val="000000"/>
        </w:rPr>
        <w:t>by email at</w:t>
      </w:r>
      <w:r w:rsidRPr="00013757">
        <w:rPr>
          <w:color w:val="000000"/>
        </w:rPr>
        <w:t xml:space="preserve"> </w:t>
      </w:r>
      <w:hyperlink r:id="rId13" w:history="1">
        <w:r>
          <w:rPr>
            <w:rStyle w:val="Hyperlink"/>
          </w:rPr>
          <w:t>RDAJ&amp;As.fct</w:t>
        </w:r>
        <w:r w:rsidRPr="00013757">
          <w:rPr>
            <w:rStyle w:val="Hyperlink"/>
          </w:rPr>
          <w:t>@navy.mil</w:t>
        </w:r>
      </w:hyperlink>
      <w:r w:rsidRPr="00013757">
        <w:rPr>
          <w:color w:val="000000"/>
        </w:rPr>
        <w:t xml:space="preserve"> </w:t>
      </w:r>
      <w:r>
        <w:rPr>
          <w:color w:val="000000"/>
        </w:rPr>
        <w:t xml:space="preserve">with the subject “[Activity Name] </w:t>
      </w:r>
      <w:r w:rsidRPr="00013757">
        <w:rPr>
          <w:color w:val="000000"/>
        </w:rPr>
        <w:t>DFARS 230.201-5(e) – Granted CAS Waivers Report.”</w:t>
      </w:r>
    </w:p>
    <w:p w:rsidR="00257724" w:rsidRDefault="00257724" w:rsidP="00B44BE7">
      <w:pPr>
        <w:widowControl w:val="0"/>
        <w:rPr>
          <w:color w:val="000000"/>
        </w:rPr>
      </w:pPr>
    </w:p>
    <w:p w:rsidR="00257724" w:rsidRDefault="00257724" w:rsidP="00B44BE7">
      <w:pPr>
        <w:pStyle w:val="Heading3"/>
      </w:pPr>
      <w:bookmarkStart w:id="19" w:name="_Toc58254762"/>
      <w:bookmarkStart w:id="20" w:name="_Toc58255202"/>
      <w:bookmarkStart w:id="21" w:name="_Toc190162365"/>
      <w:bookmarkStart w:id="22" w:name="_Toc221088808"/>
      <w:bookmarkStart w:id="23" w:name="_Toc221944542"/>
      <w:bookmarkStart w:id="24" w:name="_Toc54782588"/>
      <w:r>
        <w:t>5230.202 Disclosure requirements.</w:t>
      </w:r>
      <w:bookmarkEnd w:id="19"/>
      <w:bookmarkEnd w:id="20"/>
      <w:bookmarkEnd w:id="21"/>
      <w:bookmarkEnd w:id="22"/>
      <w:bookmarkEnd w:id="23"/>
      <w:bookmarkEnd w:id="24"/>
    </w:p>
    <w:p w:rsidR="00257724" w:rsidRDefault="00257724" w:rsidP="00B44BE7">
      <w:pPr>
        <w:pStyle w:val="Heading4"/>
      </w:pPr>
      <w:bookmarkStart w:id="25" w:name="_Toc58254763"/>
      <w:bookmarkStart w:id="26" w:name="_Toc58255203"/>
      <w:bookmarkStart w:id="27" w:name="_Toc190162366"/>
      <w:bookmarkStart w:id="28" w:name="_Toc221088809"/>
      <w:bookmarkStart w:id="29" w:name="_Toc221944543"/>
      <w:r>
        <w:t>5230.202-2 Impracticability of submission.</w:t>
      </w:r>
      <w:bookmarkEnd w:id="25"/>
      <w:bookmarkEnd w:id="26"/>
      <w:bookmarkEnd w:id="27"/>
      <w:bookmarkEnd w:id="28"/>
      <w:bookmarkEnd w:id="29"/>
    </w:p>
    <w:p w:rsidR="00257724" w:rsidRDefault="00257724" w:rsidP="00B44BE7">
      <w:pPr>
        <w:widowControl w:val="0"/>
        <w:rPr>
          <w:color w:val="000000"/>
        </w:rPr>
      </w:pPr>
      <w:r>
        <w:rPr>
          <w:color w:val="000000"/>
        </w:rPr>
        <w:t xml:space="preserve">   Submit requests for impracticability determinations </w:t>
      </w:r>
      <w:r w:rsidRPr="00AA0FD3">
        <w:rPr>
          <w:color w:val="000000"/>
        </w:rPr>
        <w:t xml:space="preserve">to </w:t>
      </w:r>
      <w:r>
        <w:rPr>
          <w:color w:val="000000"/>
        </w:rPr>
        <w:t>DASN(P)</w:t>
      </w:r>
      <w:r w:rsidRPr="00AA0FD3">
        <w:rPr>
          <w:color w:val="000000"/>
        </w:rPr>
        <w:t xml:space="preserve"> at least 60 days prior to anticipated contract award </w:t>
      </w:r>
      <w:r>
        <w:rPr>
          <w:color w:val="000000"/>
        </w:rPr>
        <w:t>by email at</w:t>
      </w:r>
      <w:r w:rsidRPr="00AA0FD3">
        <w:rPr>
          <w:color w:val="000000"/>
        </w:rPr>
        <w:t xml:space="preserve"> </w:t>
      </w:r>
      <w:hyperlink r:id="rId14" w:history="1">
        <w:r>
          <w:rPr>
            <w:rStyle w:val="Hyperlink"/>
          </w:rPr>
          <w:t>RDAJ&amp;As.fct</w:t>
        </w:r>
        <w:r w:rsidRPr="00AA0FD3">
          <w:rPr>
            <w:rStyle w:val="Hyperlink"/>
          </w:rPr>
          <w:t>@navy.mil</w:t>
        </w:r>
      </w:hyperlink>
      <w:r>
        <w:rPr>
          <w:color w:val="000000"/>
        </w:rPr>
        <w:t xml:space="preserve"> with the subject “[Activity Name] DFARS 230.202</w:t>
      </w:r>
      <w:r w:rsidRPr="00AA0FD3">
        <w:rPr>
          <w:color w:val="000000"/>
        </w:rPr>
        <w:t>-</w:t>
      </w:r>
      <w:r>
        <w:rPr>
          <w:color w:val="000000"/>
        </w:rPr>
        <w:t>2</w:t>
      </w:r>
      <w:r w:rsidRPr="00AA0FD3">
        <w:rPr>
          <w:color w:val="000000"/>
        </w:rPr>
        <w:t xml:space="preserve"> –</w:t>
      </w:r>
      <w:r>
        <w:rPr>
          <w:color w:val="000000"/>
        </w:rPr>
        <w:t xml:space="preserve"> Impracticability Determination.” </w:t>
      </w:r>
      <w:r w:rsidRPr="00AA0FD3">
        <w:rPr>
          <w:color w:val="000000"/>
        </w:rPr>
        <w:t>Include the estimated date of contract award.</w:t>
      </w:r>
    </w:p>
    <w:p w:rsidR="00257724" w:rsidRDefault="00257724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724" w:rsidRDefault="00257724">
      <w:r>
        <w:separator/>
      </w:r>
    </w:p>
  </w:endnote>
  <w:endnote w:type="continuationSeparator" w:id="0">
    <w:p w:rsidR="00257724" w:rsidRDefault="0025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724" w:rsidRDefault="00257724">
      <w:r>
        <w:separator/>
      </w:r>
    </w:p>
  </w:footnote>
  <w:footnote w:type="continuationSeparator" w:id="0">
    <w:p w:rsidR="00257724" w:rsidRDefault="00257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57724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BE2A339-40C8-4F8D-AE3D-F5A22B94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1065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2020-12-22T17:57:00Z</dcterms:created>
  <dcterms:modified xsi:type="dcterms:W3CDTF">2020-12-22T17:57:00Z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