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2AC2" w:rsidRDefault="002C2AC2" w:rsidP="002C2AC2">
      <w:pPr>
        <w:pStyle w:val="Heading1"/>
      </w:pPr>
      <w:bookmarkStart w:id="0" w:name="_Toc80349029"/>
      <w:r>
        <w:t>PART 5231 CONTRACT COST PRINCIPLES AND PROCEDURES</w:t>
      </w:r>
      <w:bookmarkEnd w:id="0"/>
    </w:p>
    <w:p w:rsidR="002C2AC2" w:rsidRDefault="002C2AC2" w:rsidP="002C2AC2">
      <w:pPr>
        <w:pStyle w:val="Heading2"/>
      </w:pPr>
      <w:bookmarkStart w:id="1" w:name="_Toc58254765"/>
      <w:bookmarkStart w:id="2" w:name="_Toc58255205"/>
      <w:bookmarkStart w:id="3" w:name="_Toc190162368"/>
      <w:bookmarkStart w:id="4" w:name="_Toc221088811"/>
      <w:bookmarkStart w:id="5" w:name="_Toc221944545"/>
      <w:bookmarkStart w:id="6" w:name="_Toc80349030"/>
      <w:r>
        <w:t>SUBPART 5231.1—APPLICABILITY</w:t>
      </w:r>
      <w:bookmarkEnd w:id="1"/>
      <w:bookmarkEnd w:id="2"/>
      <w:bookmarkEnd w:id="3"/>
      <w:bookmarkEnd w:id="4"/>
      <w:bookmarkEnd w:id="5"/>
      <w:bookmarkEnd w:id="6"/>
    </w:p>
    <w:p w:rsidR="002C2AC2" w:rsidRDefault="002C2AC2" w:rsidP="002C2AC2">
      <w:pPr>
        <w:pStyle w:val="Heading3"/>
      </w:pPr>
      <w:bookmarkStart w:id="7" w:name="_Toc58254766"/>
      <w:bookmarkStart w:id="8" w:name="_Toc58255206"/>
      <w:bookmarkStart w:id="9" w:name="_Toc190162369"/>
      <w:bookmarkStart w:id="10" w:name="_Toc221088812"/>
      <w:bookmarkStart w:id="11" w:name="_Toc221944546"/>
      <w:bookmarkStart w:id="12" w:name="_Toc80349031"/>
      <w:r>
        <w:t>5231.109 Advance agreements.</w:t>
      </w:r>
      <w:bookmarkEnd w:id="7"/>
      <w:bookmarkEnd w:id="8"/>
      <w:bookmarkEnd w:id="9"/>
      <w:bookmarkEnd w:id="10"/>
      <w:bookmarkEnd w:id="11"/>
      <w:bookmarkEnd w:id="12"/>
    </w:p>
    <w:p w:rsidR="002C2AC2" w:rsidRDefault="002C2AC2" w:rsidP="002C2AC2">
      <w:r>
        <w:t xml:space="preserve">   (a) Since advance agreements often deal with issues that are complex and/or unprecedented and may require FAR/DFARS deviations, activities contemplating negotiation of advance agreements on the treatment of special or unusual costs shall consult with DASN(P) before entering into any negotiations.   (g) Copies of all negotiated advance agreements shall be forwarded to DASN(P) within </w:t>
      </w:r>
      <w:r w:rsidRPr="00322311">
        <w:t>15</w:t>
      </w:r>
      <w:r>
        <w:t xml:space="preserve"> days of their execution, together with appropriate supporting documents by email at</w:t>
      </w:r>
      <w:r w:rsidRPr="00013757">
        <w:t xml:space="preserve"> </w:t>
      </w:r>
      <w:hyperlink r:id="rId11" w:history="1">
        <w:r>
          <w:rPr>
            <w:rStyle w:val="Hyperlink"/>
          </w:rPr>
          <w:t>RDAJ&amp;As.fct</w:t>
        </w:r>
        <w:r w:rsidRPr="00013757">
          <w:rPr>
            <w:rStyle w:val="Hyperlink"/>
          </w:rPr>
          <w:t>@navy.mil</w:t>
        </w:r>
      </w:hyperlink>
      <w:r w:rsidRPr="00013757">
        <w:t xml:space="preserve"> </w:t>
      </w:r>
      <w:r>
        <w:t xml:space="preserve">with the subject “[Activity Name] </w:t>
      </w:r>
      <w:r w:rsidRPr="00013757">
        <w:t>FAR 31.109 – Negotiated Advance Agreement.”</w:t>
      </w:r>
    </w:p>
    <w:p w:rsidR="002C2AC2" w:rsidRDefault="002C2AC2" w:rsidP="002C2AC2"/>
    <w:p w:rsidR="002C2AC2" w:rsidRDefault="002C2AC2" w:rsidP="002C2AC2">
      <w:pPr>
        <w:pStyle w:val="Heading2"/>
      </w:pPr>
      <w:bookmarkStart w:id="13" w:name="_Toc221088813"/>
      <w:bookmarkStart w:id="14" w:name="_Toc221944547"/>
      <w:bookmarkStart w:id="15" w:name="_Toc80349032"/>
      <w:r>
        <w:t>SUBPART 5231.2—CONTRACTS WITH COMMERCIAL ORGANIZATIONS</w:t>
      </w:r>
      <w:bookmarkEnd w:id="13"/>
      <w:bookmarkEnd w:id="14"/>
      <w:bookmarkEnd w:id="15"/>
    </w:p>
    <w:p w:rsidR="002C2AC2" w:rsidRPr="00322F32" w:rsidRDefault="002C2AC2" w:rsidP="002C2AC2">
      <w:pPr>
        <w:pStyle w:val="Heading3"/>
      </w:pPr>
      <w:bookmarkStart w:id="16" w:name="_Toc221088814"/>
      <w:bookmarkStart w:id="17" w:name="_Toc221944548"/>
      <w:bookmarkStart w:id="18" w:name="_Toc80349033"/>
      <w:r>
        <w:t>5231.205 Selected costs.</w:t>
      </w:r>
      <w:bookmarkEnd w:id="16"/>
      <w:bookmarkEnd w:id="17"/>
      <w:bookmarkEnd w:id="18"/>
      <w:r>
        <w:t xml:space="preserve"> </w:t>
      </w:r>
    </w:p>
    <w:p w:rsidR="002C2AC2" w:rsidRDefault="002C2AC2" w:rsidP="002C2AC2">
      <w:pPr>
        <w:pStyle w:val="Heading4"/>
      </w:pPr>
      <w:bookmarkStart w:id="19" w:name="_Toc221088815"/>
      <w:bookmarkStart w:id="20" w:name="_Toc221944549"/>
      <w:r>
        <w:t>5231.205-90 Shipbuilding capability preservation agreements.</w:t>
      </w:r>
      <w:bookmarkEnd w:id="19"/>
      <w:bookmarkEnd w:id="20"/>
    </w:p>
    <w:p w:rsidR="002C2AC2" w:rsidRDefault="002C2AC2" w:rsidP="002C2AC2">
      <w:r>
        <w:t xml:space="preserve">   (a) </w:t>
      </w:r>
      <w:r>
        <w:rPr>
          <w:i/>
        </w:rPr>
        <w:t>Scope and authority</w:t>
      </w:r>
      <w:r>
        <w:t>. Where it would facilitate the achievement of the policy objectives set forth in 10 U.S.C. 2501(b), the Navy may enter into a shipbuilding capability preservation agreement with a contractor. As authorized by Section 1027 of the National Defense Authorization Act (NDAA) for FY 1998 (P.L. 105-85), such an agreement permits the contractor to claim certain indirect costs attributable to its private sector work as allowable costs on Navy shipbuilding contracts.</w:t>
      </w:r>
    </w:p>
    <w:p w:rsidR="002C2AC2" w:rsidRDefault="002C2AC2" w:rsidP="002C2AC2">
      <w:r>
        <w:t xml:space="preserve">   (b) </w:t>
      </w:r>
      <w:r>
        <w:rPr>
          <w:i/>
        </w:rPr>
        <w:t>Definition</w:t>
      </w:r>
      <w:r>
        <w:t>. “Incremental indirect cost,” as used in this subsection, means an additional indirect cost that results from performing private sector work described in a shipbuilding capability preservation agreement.</w:t>
      </w:r>
    </w:p>
    <w:p w:rsidR="002C2AC2" w:rsidRDefault="002C2AC2" w:rsidP="002C2AC2">
      <w:r>
        <w:t xml:space="preserve">   (c) </w:t>
      </w:r>
      <w:r>
        <w:rPr>
          <w:i/>
        </w:rPr>
        <w:t>Purpose and guidelines</w:t>
      </w:r>
      <w: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rsidR="002C2AC2" w:rsidRDefault="002C2AC2" w:rsidP="002C2AC2">
      <w:r>
        <w:t xml:space="preserve">     (1) ASN(RDA)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rsidR="002C2AC2" w:rsidRDefault="002C2AC2" w:rsidP="002C2AC2">
      <w:r>
        <w:t xml:space="preserve">     (2) An agreement generally will be considered only for a shipbuilder with little or no private sector work.</w:t>
      </w:r>
    </w:p>
    <w:p w:rsidR="002C2AC2" w:rsidRDefault="002C2AC2" w:rsidP="002C2AC2">
      <w:r>
        <w:t xml:space="preserve">     (3) The agreement shall apply to prospective private sector work only and shall not extend beyond 5 years.</w:t>
      </w:r>
    </w:p>
    <w:p w:rsidR="002C2AC2" w:rsidRDefault="002C2AC2" w:rsidP="002C2AC2">
      <w:r>
        <w:t xml:space="preserve">     (4) The agreement must project an overall benefit to the Navy, including net savings. This would be achieved by demonstrating that private sector work will absorb costs that otherwise would be absorbed by the Navy.</w:t>
      </w:r>
    </w:p>
    <w:p w:rsidR="002C2AC2" w:rsidRDefault="002C2AC2" w:rsidP="002C2AC2">
      <w:r>
        <w:t xml:space="preserve">   (d) </w:t>
      </w:r>
      <w:r>
        <w:rPr>
          <w:i/>
        </w:rPr>
        <w:t>Cost-reimbursement rules</w:t>
      </w:r>
      <w:r>
        <w:t>. If the Navy enters into a shipbuilding capability preservation agreement with a contractor, the following cost-reimbursement rules apply:</w:t>
      </w:r>
    </w:p>
    <w:p w:rsidR="002C2AC2" w:rsidRDefault="002C2AC2" w:rsidP="002C2AC2">
      <w:r>
        <w:t xml:space="preserve">     (1) The agreement shall require the contractor to allocate the following costs to private sector work:</w:t>
      </w:r>
    </w:p>
    <w:p w:rsidR="002C2AC2" w:rsidRDefault="002C2AC2" w:rsidP="002C2AC2">
      <w:r>
        <w:t xml:space="preserve">       (i) The direct costs attributable to the private sector work;</w:t>
      </w:r>
    </w:p>
    <w:p w:rsidR="002C2AC2" w:rsidRDefault="002C2AC2" w:rsidP="002C2AC2">
      <w:r>
        <w:t xml:space="preserve">       (ii) The incremental indirect costs attributable to the private sector work; and</w:t>
      </w:r>
    </w:p>
    <w:p w:rsidR="002C2AC2" w:rsidRDefault="002C2AC2" w:rsidP="002C2AC2">
      <w:r>
        <w:t xml:space="preserve">       (iii) The non-incremental indirect costs to the extent that the revenue attributable to the private sector work exceeds the sum of the costs specified in paragraphs (d)(1)(i) and (d)(1)(ii) of this subsection.</w:t>
      </w:r>
    </w:p>
    <w:p w:rsidR="002C2AC2" w:rsidRDefault="002C2AC2" w:rsidP="002C2AC2">
      <w:r>
        <w:t xml:space="preserve">     (2)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rsidR="002C2AC2" w:rsidRDefault="002C2AC2" w:rsidP="002C2AC2">
      <w:r>
        <w:t xml:space="preserve">     (3)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rsidR="002C2AC2" w:rsidRDefault="002C2AC2" w:rsidP="002C2AC2">
      <w:r>
        <w:t xml:space="preserve">       (i) Any smaller amount shall not be less than the sum of the costs specified in paragraphs (d)(1)(i) and (d)(1)(ii) of this subsection.</w:t>
      </w:r>
    </w:p>
    <w:p w:rsidR="002C2AC2" w:rsidRDefault="002C2AC2" w:rsidP="002C2AC2">
      <w:r>
        <w:t xml:space="preserve">       (ii) Any larger amount shall not exceed the sum of the costs specified in paragraph (d)(1)(i) of this subsection and the amount of indirect costs that would have been allocated to the private sector work in accordance with the contractor's established accounting practices.</w:t>
      </w:r>
    </w:p>
    <w:p w:rsidR="002C2AC2" w:rsidRDefault="002C2AC2" w:rsidP="002C2AC2">
      <w:r>
        <w:t xml:space="preserve">       (iii)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rsidR="002C2AC2" w:rsidRDefault="002C2AC2" w:rsidP="002C2AC2">
      <w:r>
        <w:t xml:space="preserve">   (e) </w:t>
      </w:r>
      <w:r>
        <w:rPr>
          <w:i/>
        </w:rPr>
        <w:t>Procedure</w:t>
      </w:r>
      <w:r>
        <w:t>. A contractor may submit a request for a shipbuilding capability preservation agreement, together with appropriate justification, through the Deputy Assistant Secretary of the Navy for Ships, to ASN(RDA), who has approval or disapproval authority. The contractor should also provide an informational copy of any such request to the cognizant administrative contracting officer.</w:t>
      </w:r>
    </w:p>
    <w:p w:rsidR="002C2AC2" w:rsidRDefault="002C2AC2" w:rsidP="002C2AC2"/>
    <w:p w:rsidR="002C2AC2" w:rsidRDefault="002C2AC2" w:rsidP="002C2AC2">
      <w:pPr>
        <w:pStyle w:val="Heading4"/>
      </w:pPr>
      <w:r>
        <w:t>5231.205-91 Compensation for services.</w:t>
      </w:r>
    </w:p>
    <w:p w:rsidR="002C2AC2" w:rsidRDefault="002C2AC2" w:rsidP="002C2AC2">
      <w:pPr>
        <w:rPr>
          <w:b/>
          <w:sz w:val="32"/>
        </w:rPr>
      </w:pPr>
      <w:r>
        <w:t xml:space="preserve">Submit annual reports for </w:t>
      </w:r>
      <w:r w:rsidRPr="00322F32">
        <w:t>DoD Waivers of the Contractor Employee Compensation</w:t>
      </w:r>
      <w:r>
        <w:t xml:space="preserve"> </w:t>
      </w:r>
      <w:r w:rsidRPr="00322F32">
        <w:t xml:space="preserve">Cap </w:t>
      </w:r>
      <w:r w:rsidRPr="00AA0FD3">
        <w:t xml:space="preserve">to </w:t>
      </w:r>
      <w:r>
        <w:t>DASN(P)</w:t>
      </w:r>
      <w:r w:rsidRPr="00AA0FD3">
        <w:t xml:space="preserve"> </w:t>
      </w:r>
      <w:r w:rsidRPr="00013757">
        <w:t>no later than</w:t>
      </w:r>
      <w:r>
        <w:t xml:space="preserve"> October 31 by email at</w:t>
      </w:r>
      <w:r w:rsidRPr="00AA0FD3">
        <w:t xml:space="preserve"> </w:t>
      </w:r>
      <w:hyperlink r:id="rId12" w:history="1">
        <w:r>
          <w:rPr>
            <w:rStyle w:val="Hyperlink"/>
          </w:rPr>
          <w:t>RDAJ&amp;As.fct</w:t>
        </w:r>
        <w:r w:rsidRPr="00AA0FD3">
          <w:rPr>
            <w:rStyle w:val="Hyperlink"/>
          </w:rPr>
          <w:t>@navy.mil</w:t>
        </w:r>
      </w:hyperlink>
      <w:r>
        <w:t xml:space="preserve"> with the subject “[Activity Name] NMCARS 5231.205-91 </w:t>
      </w:r>
      <w:r w:rsidRPr="00322F32">
        <w:t>DoD Waivers of the Contractor Employee Compensation</w:t>
      </w:r>
      <w:r>
        <w:t xml:space="preserve"> </w:t>
      </w:r>
      <w:r w:rsidRPr="00322F32">
        <w:t>Cap</w:t>
      </w:r>
      <w:r>
        <w:t>” using the reporting guidance provided in Annex 23.</w:t>
      </w: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AC2" w:rsidRDefault="002C2AC2">
      <w:r>
        <w:separator/>
      </w:r>
    </w:p>
  </w:endnote>
  <w:endnote w:type="continuationSeparator" w:id="0">
    <w:p w:rsidR="002C2AC2" w:rsidRDefault="002C2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AC2" w:rsidRDefault="002C2AC2">
      <w:r>
        <w:separator/>
      </w:r>
    </w:p>
  </w:footnote>
  <w:footnote w:type="continuationSeparator" w:id="0">
    <w:p w:rsidR="002C2AC2" w:rsidRDefault="002C2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2AC2"/>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