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6394" w:rsidRDefault="00CA6394" w:rsidP="00CA6394">
      <w:pPr>
        <w:pStyle w:val="Heading1"/>
      </w:pPr>
      <w:bookmarkStart w:id="0" w:name="_Toc74296441"/>
      <w:r>
        <w:t>PART 5242 CONTRACT ADMINISTRATION AND AUDIT SERVICES</w:t>
      </w:r>
      <w:bookmarkEnd w:id="0"/>
    </w:p>
    <w:p w:rsidR="00CA6394" w:rsidRDefault="00CA6394" w:rsidP="00CA6394">
      <w:pPr>
        <w:pStyle w:val="Heading2"/>
      </w:pPr>
      <w:bookmarkStart w:id="1" w:name="_Toc221088885"/>
      <w:bookmarkStart w:id="2" w:name="_Toc221944619"/>
      <w:bookmarkStart w:id="3" w:name="_Toc74296442"/>
      <w:r>
        <w:t>SUBPART 5242.1—CONTRACT AUDIT SERVICES</w:t>
      </w:r>
      <w:bookmarkEnd w:id="1"/>
      <w:bookmarkEnd w:id="2"/>
      <w:bookmarkEnd w:id="3"/>
    </w:p>
    <w:p w:rsidR="00CA6394" w:rsidRDefault="00CA6394" w:rsidP="00CA6394">
      <w:pPr>
        <w:pStyle w:val="Heading3"/>
      </w:pPr>
      <w:bookmarkStart w:id="4" w:name="_Toc221088887"/>
      <w:bookmarkStart w:id="5" w:name="_Toc221944621"/>
      <w:bookmarkStart w:id="6" w:name="_Toc74296443"/>
      <w:r w:rsidRPr="00405B8C">
        <w:t>5242.191 Audit resolution and disposition.</w:t>
      </w:r>
      <w:bookmarkEnd w:id="4"/>
      <w:bookmarkEnd w:id="5"/>
      <w:bookmarkEnd w:id="6"/>
      <w:r>
        <w:t xml:space="preserve"> </w:t>
      </w:r>
    </w:p>
    <w:p w:rsidR="00CA6394" w:rsidRDefault="00CA6394" w:rsidP="00CA6394">
      <w:pPr>
        <w:pStyle w:val="List1"/>
      </w:pPr>
      <w:r>
        <w:t xml:space="preserve">(a) Resolution of findings/recommendations in reportable contract audit reports, other than pre-award audits, </w:t>
      </w:r>
      <w:r w:rsidRPr="007212F7">
        <w:t>is required within six months of report issuance. When an audit</w:t>
      </w:r>
      <w:r>
        <w:t>’s f</w:t>
      </w:r>
      <w:r w:rsidRPr="007212F7">
        <w:t xml:space="preserve">indings/recommendations are resolved, they shall be supported, in the official contract file, by </w:t>
      </w:r>
      <w:r w:rsidRPr="007212F7">
        <w:rPr>
          <w:rFonts w:eastAsia="Calibri"/>
          <w:szCs w:val="24"/>
        </w:rPr>
        <w:t xml:space="preserve">a negotiation memorandum, if applicable; a memorandum for the record; or other appropriate </w:t>
      </w:r>
      <w:r w:rsidRPr="007212F7">
        <w:t xml:space="preserve">specific written documentation </w:t>
      </w:r>
      <w:r>
        <w:t>in the file. Disposition, including fund recovery actions, shall take place as soon as possible after resolution.</w:t>
      </w:r>
    </w:p>
    <w:p w:rsidR="00CA6394" w:rsidRDefault="00CA6394" w:rsidP="00CA6394">
      <w:pPr>
        <w:pStyle w:val="List1"/>
      </w:pPr>
      <w:r>
        <w:t xml:space="preserve">(b) HCAs are responsible for establishing procedures to accomplish audit resolution and disposition within the required times and to comply with the DOD Instruction 7640.02, Policy for Follow-Up on Contract Audit Reports. </w:t>
      </w:r>
      <w:r w:rsidRPr="001C4E03">
        <w:t xml:space="preserve">Semiannual (March 31 and September 30 of each year) reporting requirements shall be conducted through routine and timely entry of resolved, unresolved, dispositioned, or in litigation or investigation and document forward date within the CAFU DCMA eTools system at </w:t>
      </w:r>
      <w:hyperlink r:id="rId11" w:history="1">
        <w:r w:rsidRPr="001C4E03">
          <w:rPr>
            <w:rStyle w:val="Hyperlink"/>
          </w:rPr>
          <w:t>www.dcma.mil</w:t>
        </w:r>
      </w:hyperlink>
      <w:r w:rsidRPr="001C4E03">
        <w:t xml:space="preserve">. </w:t>
      </w:r>
      <w:r>
        <w:t xml:space="preserve">If the resolution and disposition of reportable contract audit reports become over-age, documentation of actions taken to achieve resolution and disposition shall be recorded within the CAFU DCMA eTools system monthly. DASN(P) PA&amp;BT is the DON liaison. </w:t>
      </w:r>
    </w:p>
    <w:p w:rsidR="00CA6394" w:rsidRDefault="00CA6394" w:rsidP="00CA6394">
      <w:pPr>
        <w:widowControl w:val="0"/>
      </w:pPr>
    </w:p>
    <w:p w:rsidR="00CA6394" w:rsidRDefault="00CA6394" w:rsidP="00CA6394">
      <w:pPr>
        <w:pStyle w:val="Heading2"/>
      </w:pPr>
      <w:bookmarkStart w:id="7" w:name="_Toc58254804"/>
      <w:bookmarkStart w:id="8" w:name="_Toc58255244"/>
      <w:bookmarkStart w:id="9" w:name="_Toc190162412"/>
      <w:bookmarkStart w:id="10" w:name="_Toc221088888"/>
      <w:bookmarkStart w:id="11" w:name="_Toc221944622"/>
      <w:bookmarkStart w:id="12" w:name="_Toc74296444"/>
      <w:bookmarkStart w:id="13" w:name="_Toc58257339"/>
      <w:r>
        <w:t>SUBPART 5242.6—CORPORATE ADMINISTRATIVE CONTRACTING OFFICER</w:t>
      </w:r>
      <w:bookmarkEnd w:id="7"/>
      <w:bookmarkEnd w:id="8"/>
      <w:bookmarkEnd w:id="9"/>
      <w:bookmarkEnd w:id="10"/>
      <w:bookmarkEnd w:id="11"/>
      <w:bookmarkEnd w:id="12"/>
    </w:p>
    <w:p w:rsidR="00CA6394" w:rsidRDefault="00CA6394" w:rsidP="00CA6394">
      <w:pPr>
        <w:pStyle w:val="Heading3"/>
      </w:pPr>
      <w:bookmarkStart w:id="14" w:name="_Toc58254805"/>
      <w:bookmarkStart w:id="15" w:name="_Toc58255245"/>
      <w:bookmarkStart w:id="16" w:name="_Toc190162413"/>
      <w:bookmarkStart w:id="17" w:name="_Toc221088889"/>
      <w:bookmarkStart w:id="18" w:name="_Toc221944623"/>
      <w:bookmarkStart w:id="19" w:name="_Toc74296445"/>
      <w:r>
        <w:t>5242.602 Assignment and location.</w:t>
      </w:r>
      <w:bookmarkEnd w:id="14"/>
      <w:bookmarkEnd w:id="15"/>
      <w:bookmarkEnd w:id="16"/>
      <w:bookmarkEnd w:id="17"/>
      <w:bookmarkEnd w:id="18"/>
      <w:bookmarkEnd w:id="19"/>
    </w:p>
    <w:p w:rsidR="00CA6394" w:rsidRPr="00DE225F" w:rsidRDefault="00CA6394" w:rsidP="00CA6394">
      <w:pPr>
        <w:pStyle w:val="List1"/>
      </w:pPr>
      <w:r>
        <w:t>(a) Submit recommendations for assignment of a corporate administrative contracting officer (CACO) to DASN(P) by email at</w:t>
      </w:r>
      <w:r w:rsidRPr="00DE225F">
        <w:t xml:space="preserve"> </w:t>
      </w:r>
      <w:hyperlink r:id="rId12" w:history="1">
        <w:r>
          <w:rPr>
            <w:rStyle w:val="Hyperlink"/>
          </w:rPr>
          <w:t>RDAJ&amp;As.fct</w:t>
        </w:r>
        <w:r w:rsidRPr="00DE225F">
          <w:rPr>
            <w:rStyle w:val="Hyperlink"/>
          </w:rPr>
          <w:t>@navy.mil</w:t>
        </w:r>
      </w:hyperlink>
      <w:r w:rsidRPr="00DE225F">
        <w:t xml:space="preserve"> </w:t>
      </w:r>
      <w:r>
        <w:t xml:space="preserve">with the subject “[Activity Name] </w:t>
      </w:r>
      <w:r w:rsidRPr="00DE225F">
        <w:t>DFARS 242.602 - CACO Assignment Recommendation.”</w:t>
      </w:r>
    </w:p>
    <w:p w:rsidR="00CA6394" w:rsidRDefault="00CA6394" w:rsidP="00CA6394">
      <w:pPr>
        <w:widowControl w:val="0"/>
      </w:pPr>
      <w:r>
        <w:t xml:space="preserve"> </w:t>
      </w:r>
    </w:p>
    <w:bookmarkEnd w:id="13"/>
    <w:p w:rsidR="00CA6394" w:rsidRDefault="00CA6394" w:rsidP="00CA6394">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6394" w:rsidRDefault="00CA6394">
      <w:r>
        <w:separator/>
      </w:r>
    </w:p>
  </w:endnote>
  <w:endnote w:type="continuationSeparator" w:id="0">
    <w:p w:rsidR="00CA6394" w:rsidRDefault="00CA6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6394" w:rsidRDefault="00CA6394">
      <w:r>
        <w:separator/>
      </w:r>
    </w:p>
  </w:footnote>
  <w:footnote w:type="continuationSeparator" w:id="0">
    <w:p w:rsidR="00CA6394" w:rsidRDefault="00CA6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394"/>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cma.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1804</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