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BB" w:rsidRDefault="00164ABB" w:rsidP="00B44BE7">
      <w:pPr>
        <w:pStyle w:val="Heading1"/>
      </w:pPr>
      <w:bookmarkStart w:id="0" w:name="_Toc54782414"/>
      <w:bookmarkStart w:id="1" w:name="_GoBack"/>
      <w:bookmarkEnd w:id="1"/>
      <w:r>
        <w:t>PART 5209 CONTRACTOR QUALIFICATIONS</w:t>
      </w:r>
      <w:bookmarkEnd w:id="0"/>
    </w:p>
    <w:p w:rsidR="00164ABB" w:rsidRPr="003C5C22" w:rsidRDefault="00164ABB" w:rsidP="00B44BE7">
      <w:pPr>
        <w:pStyle w:val="Heading2"/>
      </w:pPr>
      <w:bookmarkStart w:id="2" w:name="_Toc221088615"/>
      <w:bookmarkStart w:id="3" w:name="_Toc221944348"/>
      <w:bookmarkStart w:id="4" w:name="_Toc54782415"/>
      <w:r w:rsidRPr="003C5C22">
        <w:t>SUBPART 5209.1</w:t>
      </w:r>
      <w:r>
        <w:t>—</w:t>
      </w:r>
      <w:r w:rsidRPr="006277F0">
        <w:t>RESPONSIBLE</w:t>
      </w:r>
      <w:r w:rsidRPr="003C5C22">
        <w:t xml:space="preserve"> PROSPECTIVE CONTRACTORS</w:t>
      </w:r>
      <w:bookmarkEnd w:id="2"/>
      <w:bookmarkEnd w:id="3"/>
      <w:bookmarkEnd w:id="4"/>
      <w:r w:rsidRPr="003C5C22">
        <w:t xml:space="preserve"> </w:t>
      </w:r>
    </w:p>
    <w:p w:rsidR="00164ABB" w:rsidRDefault="00164ABB" w:rsidP="00B44BE7">
      <w:pPr>
        <w:pStyle w:val="Heading3"/>
      </w:pPr>
      <w:bookmarkStart w:id="5" w:name="_Toc54782416"/>
      <w:bookmarkStart w:id="6" w:name="_Toc221088616"/>
      <w:bookmarkStart w:id="7" w:name="_Toc221944349"/>
      <w:r>
        <w:t>5209.104 Standards.</w:t>
      </w:r>
      <w:bookmarkEnd w:id="5"/>
    </w:p>
    <w:p w:rsidR="00164ABB" w:rsidRPr="003C5C22" w:rsidRDefault="00164ABB" w:rsidP="00B44BE7">
      <w:pPr>
        <w:pStyle w:val="Heading4"/>
      </w:pPr>
      <w:r w:rsidRPr="009234CE">
        <w:t>5209.104-1 General standards</w:t>
      </w:r>
      <w:r w:rsidRPr="003C5C22">
        <w:t>.</w:t>
      </w:r>
      <w:bookmarkEnd w:id="6"/>
      <w:bookmarkEnd w:id="7"/>
    </w:p>
    <w:p w:rsidR="00164ABB" w:rsidRDefault="00164ABB" w:rsidP="00673C0C">
      <w:pPr>
        <w:rPr>
          <w:bCs/>
        </w:rPr>
      </w:pPr>
      <w:r w:rsidRPr="003C5C22">
        <w:t xml:space="preserve">   (g)</w:t>
      </w:r>
      <w:r w:rsidRPr="002B23E2">
        <w:rPr>
          <w:rFonts w:eastAsia="SimSun"/>
          <w:lang w:eastAsia="zh-CN"/>
        </w:rPr>
        <w:t xml:space="preserve">(ii) </w:t>
      </w:r>
      <w:r w:rsidRPr="0069769F">
        <w:rPr>
          <w:rFonts w:eastAsia="SimSun"/>
          <w:i/>
          <w:lang w:eastAsia="zh-CN"/>
        </w:rPr>
        <w:t>Ownership or control by a foreign government when access to proscribed information is required.</w:t>
      </w:r>
      <w:r w:rsidRPr="002B23E2">
        <w:rPr>
          <w:rFonts w:eastAsia="SimSun"/>
          <w:lang w:eastAsia="zh-CN"/>
        </w:rPr>
        <w:t xml:space="preserve"> </w:t>
      </w:r>
    </w:p>
    <w:p w:rsidR="00164ABB" w:rsidRPr="00673C0C" w:rsidRDefault="00164ABB" w:rsidP="00673C0C">
      <w:pPr>
        <w:ind w:firstLine="720"/>
        <w:rPr>
          <w:bCs/>
        </w:rPr>
      </w:pPr>
      <w:r w:rsidRPr="002B23E2">
        <w:rPr>
          <w:szCs w:val="24"/>
        </w:rPr>
        <w:t xml:space="preserve">(C) Submit waiver requests for Undersecretary of Defense for Intelligence approval via </w:t>
      </w:r>
      <w:r>
        <w:t>DASN(P)</w:t>
      </w:r>
      <w:r w:rsidRPr="002B23E2">
        <w:t xml:space="preserve"> </w:t>
      </w:r>
      <w:r>
        <w:t>by email at</w:t>
      </w:r>
      <w:r w:rsidRPr="002B23E2">
        <w:t xml:space="preserve"> </w:t>
      </w:r>
      <w:hyperlink r:id="rId12" w:history="1">
        <w:r>
          <w:rPr>
            <w:rStyle w:val="Hyperlink"/>
            <w:szCs w:val="24"/>
          </w:rPr>
          <w:t>RDAJ&amp;As.fct</w:t>
        </w:r>
        <w:r w:rsidRPr="002B23E2">
          <w:rPr>
            <w:rStyle w:val="Hyperlink"/>
            <w:szCs w:val="24"/>
          </w:rPr>
          <w:t>@navy.mil</w:t>
        </w:r>
      </w:hyperlink>
      <w:r>
        <w:t xml:space="preserve"> with the subject “[Activity Name] </w:t>
      </w:r>
      <w:r>
        <w:rPr>
          <w:szCs w:val="24"/>
        </w:rPr>
        <w:t xml:space="preserve">DFARS 209.104-1(g)(ii) - </w:t>
      </w:r>
      <w:r w:rsidRPr="002B23E2">
        <w:rPr>
          <w:szCs w:val="24"/>
        </w:rPr>
        <w:t>Waiver Request/National Security Interest Determination.”</w:t>
      </w:r>
    </w:p>
    <w:p w:rsidR="00164ABB" w:rsidRDefault="00164ABB" w:rsidP="00B44BE7">
      <w:pPr>
        <w:rPr>
          <w:sz w:val="26"/>
        </w:rPr>
      </w:pPr>
      <w:r w:rsidRPr="002B23E2">
        <w:t xml:space="preserve">            </w:t>
      </w:r>
      <w:r w:rsidRPr="002B23E2">
        <w:rPr>
          <w:rFonts w:eastAsia="SimSun"/>
          <w:lang w:eastAsia="zh-CN"/>
        </w:rPr>
        <w:t xml:space="preserve">(D) Submit waiver requests for Secretary of Defense approval </w:t>
      </w:r>
      <w:r>
        <w:rPr>
          <w:rFonts w:eastAsia="SimSun"/>
          <w:lang w:eastAsia="zh-CN"/>
        </w:rPr>
        <w:t>via DASN(P)</w:t>
      </w:r>
      <w:r w:rsidRPr="002B23E2">
        <w:rPr>
          <w:rFonts w:eastAsia="SimSun"/>
          <w:lang w:eastAsia="zh-CN"/>
        </w:rPr>
        <w:t xml:space="preserve"> </w:t>
      </w:r>
      <w:r>
        <w:rPr>
          <w:rFonts w:eastAsia="SimSun"/>
          <w:lang w:eastAsia="zh-CN"/>
        </w:rPr>
        <w:t>by email at</w:t>
      </w:r>
      <w:r w:rsidRPr="002B23E2">
        <w:rPr>
          <w:rFonts w:eastAsia="SimSun"/>
          <w:szCs w:val="24"/>
          <w:lang w:eastAsia="zh-CN"/>
        </w:rPr>
        <w:t xml:space="preserve"> address </w:t>
      </w:r>
      <w:hyperlink r:id="rId13" w:history="1">
        <w:r>
          <w:rPr>
            <w:rStyle w:val="Hyperlink"/>
            <w:rFonts w:eastAsia="SimSun"/>
            <w:szCs w:val="24"/>
            <w:lang w:eastAsia="zh-CN"/>
          </w:rPr>
          <w:t>RDAJ&amp;As.fct</w:t>
        </w:r>
        <w:r w:rsidRPr="002B23E2">
          <w:rPr>
            <w:rStyle w:val="Hyperlink"/>
            <w:rFonts w:eastAsia="SimSun"/>
            <w:szCs w:val="24"/>
            <w:lang w:eastAsia="zh-CN"/>
          </w:rPr>
          <w:t>@navy.mil</w:t>
        </w:r>
      </w:hyperlink>
      <w:r>
        <w:rPr>
          <w:rFonts w:eastAsia="SimSun"/>
          <w:szCs w:val="24"/>
          <w:lang w:eastAsia="zh-CN"/>
        </w:rPr>
        <w:t xml:space="preserve"> with the subject “[Activity Name] </w:t>
      </w:r>
      <w:r>
        <w:rPr>
          <w:bCs/>
          <w:szCs w:val="24"/>
        </w:rPr>
        <w:t xml:space="preserve">DFARS 209.104-1(g)(ii)(A) - </w:t>
      </w:r>
      <w:r w:rsidRPr="002B23E2">
        <w:rPr>
          <w:bCs/>
          <w:szCs w:val="24"/>
        </w:rPr>
        <w:t xml:space="preserve">SECDEF Waiver Request.” </w:t>
      </w:r>
    </w:p>
    <w:p w:rsidR="00164ABB" w:rsidRDefault="00164ABB" w:rsidP="002C20CA">
      <w:pPr>
        <w:pStyle w:val="Heading4"/>
      </w:pPr>
      <w:r w:rsidRPr="00653EC1">
        <w:rPr>
          <w:sz w:val="26"/>
        </w:rPr>
        <w:t xml:space="preserve"> </w:t>
      </w:r>
      <w:r w:rsidRPr="003A0510">
        <w:t>5209.104-</w:t>
      </w:r>
      <w:r>
        <w:t>6</w:t>
      </w:r>
      <w:r w:rsidRPr="003A0510">
        <w:t xml:space="preserve"> Federal Awardee Performance and Integrity Information System. </w:t>
      </w:r>
    </w:p>
    <w:p w:rsidR="00164ABB" w:rsidRDefault="00164ABB" w:rsidP="00B44BE7">
      <w:r w:rsidRPr="003A0510">
        <w:t xml:space="preserve">   (</w:t>
      </w:r>
      <w:r>
        <w:t>c</w:t>
      </w:r>
      <w:r w:rsidRPr="003A0510">
        <w:t xml:space="preserve">)(2) </w:t>
      </w:r>
      <w:r>
        <w:t xml:space="preserve">After completing the Federal Awardee Performance and Integrity Information System (FAPIIS)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 </w:t>
      </w:r>
    </w:p>
    <w:p w:rsidR="00164ABB" w:rsidRDefault="00164ABB" w:rsidP="00B44BE7"/>
    <w:p w:rsidR="00164ABB" w:rsidRDefault="00164ABB" w:rsidP="00B44BE7">
      <w:pPr>
        <w:pStyle w:val="Heading2"/>
      </w:pPr>
      <w:bookmarkStart w:id="8" w:name="_Toc58257293"/>
      <w:bookmarkStart w:id="9" w:name="_Toc221088617"/>
      <w:bookmarkStart w:id="10" w:name="_Toc221944350"/>
      <w:bookmarkStart w:id="11" w:name="_Toc54782417"/>
      <w:r>
        <w:t>SUBPART 5209.4—DEBARMENT, SUSPENSION AND INELIGIBILITY</w:t>
      </w:r>
      <w:bookmarkEnd w:id="8"/>
      <w:bookmarkEnd w:id="9"/>
      <w:bookmarkEnd w:id="10"/>
      <w:bookmarkEnd w:id="11"/>
    </w:p>
    <w:p w:rsidR="00164ABB" w:rsidRDefault="00164ABB" w:rsidP="00B44BE7">
      <w:pPr>
        <w:pStyle w:val="Heading3"/>
      </w:pPr>
      <w:bookmarkStart w:id="12" w:name="_Toc58254663"/>
      <w:bookmarkStart w:id="13" w:name="_Toc58255103"/>
      <w:bookmarkStart w:id="14" w:name="_Toc190162266"/>
      <w:bookmarkStart w:id="15" w:name="_Toc221088618"/>
      <w:bookmarkStart w:id="16" w:name="_Toc221944351"/>
      <w:bookmarkStart w:id="17" w:name="_Toc54782418"/>
      <w:bookmarkStart w:id="18" w:name="_Toc58257294"/>
      <w:r>
        <w:t>5209.402 Policy.</w:t>
      </w:r>
      <w:bookmarkEnd w:id="12"/>
      <w:bookmarkEnd w:id="13"/>
      <w:bookmarkEnd w:id="14"/>
      <w:bookmarkEnd w:id="15"/>
      <w:bookmarkEnd w:id="16"/>
      <w:bookmarkEnd w:id="17"/>
    </w:p>
    <w:p w:rsidR="00164ABB" w:rsidRDefault="00164ABB" w:rsidP="00B44BE7">
      <w:pPr>
        <w:widowControl w:val="0"/>
        <w:tabs>
          <w:tab w:val="left" w:pos="3690"/>
        </w:tabs>
      </w:pPr>
      <w:r>
        <w:t xml:space="preserve">   (d) The AGC(AI) is the Department of the Navy’s Suspending and Debarring Official (SDO).  Attorneys in the Acquisition Integrity Office have the responsibility for processing and recommending suspension or debarment action to the SDO.</w:t>
      </w:r>
    </w:p>
    <w:p w:rsidR="00164ABB" w:rsidRDefault="00164ABB" w:rsidP="00B44BE7">
      <w:pPr>
        <w:pStyle w:val="Heading3"/>
      </w:pPr>
      <w:bookmarkStart w:id="19" w:name="_Toc58254664"/>
      <w:bookmarkStart w:id="20" w:name="_Toc58255104"/>
      <w:bookmarkStart w:id="21" w:name="_Toc190162267"/>
      <w:bookmarkStart w:id="22" w:name="_Toc221088619"/>
    </w:p>
    <w:p w:rsidR="00164ABB" w:rsidRDefault="00164ABB" w:rsidP="00EB14A2">
      <w:pPr>
        <w:pStyle w:val="Heading3"/>
      </w:pPr>
      <w:bookmarkStart w:id="23" w:name="_Toc221944352"/>
      <w:bookmarkStart w:id="24" w:name="_Toc54782419"/>
      <w:r>
        <w:t xml:space="preserve">5209.404 </w:t>
      </w:r>
      <w:r w:rsidRPr="001A7CEF">
        <w:t>System for Award Management Exclusions</w:t>
      </w:r>
      <w:r>
        <w:t xml:space="preserve"> (SAM).</w:t>
      </w:r>
      <w:bookmarkEnd w:id="19"/>
      <w:bookmarkEnd w:id="20"/>
      <w:bookmarkEnd w:id="21"/>
      <w:bookmarkEnd w:id="22"/>
      <w:bookmarkEnd w:id="23"/>
      <w:bookmarkEnd w:id="24"/>
    </w:p>
    <w:p w:rsidR="00164ABB" w:rsidRDefault="00164ABB" w:rsidP="00BF3A89">
      <w:r>
        <w:t xml:space="preserve">   (b)(8) The Acquisition Integrity Office has the responsibility for entering data, updating, and performing all other administrative functions regarding the SAM exclusions for the DON.</w:t>
      </w:r>
    </w:p>
    <w:p w:rsidR="00164ABB" w:rsidRDefault="00164ABB" w:rsidP="00B44BE7">
      <w:pPr>
        <w:widowControl w:val="0"/>
        <w:tabs>
          <w:tab w:val="left" w:pos="3690"/>
        </w:tabs>
      </w:pPr>
    </w:p>
    <w:p w:rsidR="00164ABB" w:rsidRDefault="00164ABB" w:rsidP="00B44BE7">
      <w:pPr>
        <w:pStyle w:val="Heading3"/>
      </w:pPr>
      <w:bookmarkStart w:id="25" w:name="_Toc221088620"/>
      <w:bookmarkStart w:id="26" w:name="_Toc221944353"/>
      <w:bookmarkStart w:id="27" w:name="_Toc54782420"/>
      <w:r>
        <w:t>5209.405 Effect of listing.</w:t>
      </w:r>
      <w:bookmarkEnd w:id="18"/>
      <w:bookmarkEnd w:id="25"/>
      <w:bookmarkEnd w:id="26"/>
      <w:bookmarkEnd w:id="27"/>
    </w:p>
    <w:p w:rsidR="00164ABB" w:rsidRDefault="00164ABB" w:rsidP="00B44BE7">
      <w:pPr>
        <w:widowControl w:val="0"/>
        <w:tabs>
          <w:tab w:val="left" w:pos="0"/>
          <w:tab w:val="left" w:pos="3690"/>
        </w:tabs>
      </w:pPr>
      <w:r>
        <w:t xml:space="preserve">   (a) ASN(RDA) shall make the required determination that there is a compelling reason.  Submit requests for an ASN(RDA) determination to DASN(P) with justification for the proposed consent action by email at</w:t>
      </w:r>
      <w:r w:rsidRPr="001B4E8D">
        <w:t xml:space="preserve"> </w:t>
      </w:r>
      <w:hyperlink r:id="rId14"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Compelling Reason Review and Approval</w:t>
      </w:r>
      <w:r>
        <w:t>.</w:t>
      </w:r>
      <w:r w:rsidRPr="001B4E8D">
        <w:t>”</w:t>
      </w:r>
      <w:r>
        <w:t xml:space="preserve"> DASN(P) shall provide written notification of the determination to the General Services Administration. </w:t>
      </w:r>
    </w:p>
    <w:p w:rsidR="00164ABB" w:rsidRPr="00B77BE1" w:rsidRDefault="00164ABB" w:rsidP="008741FB">
      <w:r w:rsidRPr="00B77BE1">
        <w:t xml:space="preserve">   (b)(ii) Submit requests for an agency head exception </w:t>
      </w:r>
      <w:r>
        <w:t>via DASN(P)</w:t>
      </w:r>
      <w:r w:rsidRPr="00B77BE1">
        <w:t xml:space="preserve"> with justification </w:t>
      </w:r>
      <w:r w:rsidRPr="001B4E8D">
        <w:t xml:space="preserve">that award to Code “H” ineligible contractor is in the paramount interest of the United States </w:t>
      </w:r>
      <w:r>
        <w:t>by email at</w:t>
      </w:r>
      <w:r w:rsidRPr="001B4E8D">
        <w:t xml:space="preserve"> </w:t>
      </w:r>
      <w:hyperlink r:id="rId15"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 – Code H Ineligible Facility Review and Approval</w:t>
      </w:r>
      <w:r>
        <w:t>.”</w:t>
      </w:r>
    </w:p>
    <w:p w:rsidR="00164ABB" w:rsidRDefault="00164ABB" w:rsidP="00B44BE7">
      <w:pPr>
        <w:pStyle w:val="Heading4"/>
      </w:pPr>
      <w:bookmarkStart w:id="28" w:name="_Toc58257295"/>
      <w:bookmarkStart w:id="29" w:name="_Toc221088621"/>
      <w:bookmarkStart w:id="30" w:name="_Toc221944354"/>
      <w:r>
        <w:t>5209.405</w:t>
      </w:r>
      <w:r>
        <w:noBreakHyphen/>
        <w:t>2 Restrictions on subcontracting.</w:t>
      </w:r>
      <w:bookmarkEnd w:id="28"/>
      <w:bookmarkEnd w:id="29"/>
      <w:bookmarkEnd w:id="30"/>
    </w:p>
    <w:p w:rsidR="00164ABB" w:rsidRDefault="00164ABB" w:rsidP="00EB14A2">
      <w:pPr>
        <w:widowControl w:val="0"/>
        <w:tabs>
          <w:tab w:val="left" w:pos="3690"/>
        </w:tabs>
      </w:pPr>
      <w:r>
        <w:t xml:space="preserve">   (b) Immediately upon receipt, the contracting officer shall provide DASN(P) with an informational copy of the written notification received from the contractor by email at</w:t>
      </w:r>
      <w:r w:rsidRPr="001B4E8D">
        <w:t xml:space="preserve"> </w:t>
      </w:r>
      <w:hyperlink r:id="rId16" w:history="1">
        <w:r>
          <w:rPr>
            <w:rStyle w:val="Hyperlink"/>
          </w:rPr>
          <w:t>RDAJ&amp;As.fct</w:t>
        </w:r>
        <w:r w:rsidRPr="001B4E8D">
          <w:rPr>
            <w:rStyle w:val="Hyperlink"/>
          </w:rPr>
          <w:t>@navy.mil</w:t>
        </w:r>
      </w:hyperlink>
      <w:r w:rsidRPr="001B4E8D">
        <w:t xml:space="preserve"> </w:t>
      </w:r>
      <w:r>
        <w:t xml:space="preserve">with the subject “[Activity Name] </w:t>
      </w:r>
      <w:r w:rsidRPr="001B4E8D">
        <w:t>DFARS 209.405</w:t>
      </w:r>
      <w:r>
        <w:t>-2</w:t>
      </w:r>
      <w:r w:rsidRPr="001B4E8D">
        <w:t xml:space="preserve"> – </w:t>
      </w:r>
      <w:r>
        <w:t>Copy of Agency Head Statement.”</w:t>
      </w:r>
    </w:p>
    <w:p w:rsidR="00164ABB" w:rsidRDefault="00164ABB" w:rsidP="00B44BE7">
      <w:pPr>
        <w:widowControl w:val="0"/>
        <w:tabs>
          <w:tab w:val="left" w:pos="3690"/>
        </w:tabs>
        <w:rPr>
          <w:b/>
        </w:rPr>
      </w:pPr>
    </w:p>
    <w:p w:rsidR="00164ABB" w:rsidRDefault="00164ABB" w:rsidP="00B44BE7">
      <w:pPr>
        <w:pStyle w:val="Heading3"/>
      </w:pPr>
      <w:bookmarkStart w:id="31" w:name="_Toc58257296"/>
      <w:bookmarkStart w:id="32" w:name="_Toc221088622"/>
      <w:bookmarkStart w:id="33" w:name="_Toc221944355"/>
      <w:bookmarkStart w:id="34" w:name="_Toc54782421"/>
      <w:r>
        <w:t>5209.406 Debarment.</w:t>
      </w:r>
      <w:bookmarkEnd w:id="31"/>
      <w:bookmarkEnd w:id="32"/>
      <w:bookmarkEnd w:id="33"/>
      <w:bookmarkEnd w:id="34"/>
    </w:p>
    <w:p w:rsidR="00164ABB" w:rsidRDefault="00164ABB" w:rsidP="00B44BE7">
      <w:pPr>
        <w:pStyle w:val="Heading4"/>
      </w:pPr>
      <w:bookmarkStart w:id="35" w:name="_Toc58257297"/>
      <w:bookmarkStart w:id="36" w:name="_Toc221088623"/>
      <w:bookmarkStart w:id="37" w:name="_Toc221944356"/>
      <w:r>
        <w:t>5209.406</w:t>
      </w:r>
      <w:r>
        <w:noBreakHyphen/>
        <w:t>3 Procedures.</w:t>
      </w:r>
      <w:bookmarkEnd w:id="35"/>
      <w:bookmarkEnd w:id="36"/>
      <w:bookmarkEnd w:id="37"/>
    </w:p>
    <w:p w:rsidR="00164ABB" w:rsidRDefault="00164ABB" w:rsidP="002C20CA">
      <w:r>
        <w:t xml:space="preserve">    (i)  Refer all matters to AGC(AI).</w:t>
      </w:r>
    </w:p>
    <w:p w:rsidR="00164ABB" w:rsidRDefault="00164ABB" w:rsidP="006305A5">
      <w:r>
        <w:t xml:space="preserve">    (ii)(D) Entity Identifier reports should also be included for all known affiliates, subsidiaries, or parent firms.</w:t>
      </w:r>
    </w:p>
    <w:p w:rsidR="00164ABB" w:rsidRDefault="00164ABB">
      <w:r>
        <w:t xml:space="preserve">    (ii)(E)(2</w:t>
      </w:r>
      <w:r w:rsidRPr="0079771D">
        <w:t>) Whether to apply limitations to the suspension or debarment and provide a recommendation for debarment or</w:t>
      </w:r>
      <w:r>
        <w:t xml:space="preserve"> </w:t>
      </w:r>
      <w:r w:rsidRPr="0079771D">
        <w:t>suspension</w:t>
      </w:r>
      <w:r>
        <w:t xml:space="preserve"> </w:t>
      </w:r>
      <w:r w:rsidRPr="0079771D">
        <w:t>action in the case of any subsidiaries and the officers thereof.</w:t>
      </w:r>
    </w:p>
    <w:p w:rsidR="00164ABB" w:rsidRDefault="00164ABB" w:rsidP="00DB412D">
      <w:r w:rsidRPr="009218C8">
        <w:t xml:space="preserve">    (iii)(A) In cases involving indictments, forward reports within </w:t>
      </w:r>
      <w:r>
        <w:t>15</w:t>
      </w:r>
      <w:r w:rsidRPr="009218C8">
        <w:t xml:space="preserve"> calendar days after the</w:t>
      </w:r>
      <w:r w:rsidRPr="00455801">
        <w:t xml:space="preserve"> indictment is filed. </w:t>
      </w:r>
      <w:r>
        <w:t xml:space="preserve">   </w:t>
      </w:r>
    </w:p>
    <w:p w:rsidR="00164ABB" w:rsidRDefault="00164ABB" w:rsidP="00786259">
      <w:r>
        <w:t xml:space="preserve">    (iv)(S-90) </w:t>
      </w:r>
      <w:r w:rsidRPr="00AB3027">
        <w:t xml:space="preserve">Contracting officers shall report </w:t>
      </w:r>
      <w:r w:rsidRPr="00503934">
        <w:t>when the contractor receives a rating of “Unsatisfactory” in any evaluation area of Past Performance</w:t>
      </w:r>
      <w:r w:rsidRPr="00AB3027" w:rsidDel="00786259">
        <w:t xml:space="preserve"> </w:t>
      </w:r>
      <w:r w:rsidRPr="00AB3027">
        <w:t xml:space="preserve">under a </w:t>
      </w:r>
      <w:r>
        <w:t xml:space="preserve">DON </w:t>
      </w:r>
      <w:r w:rsidRPr="00AB3027">
        <w:t xml:space="preserve">contract to the </w:t>
      </w:r>
      <w:r>
        <w:t xml:space="preserve">DON </w:t>
      </w:r>
      <w:r w:rsidRPr="00AB3027">
        <w:t>AIO. When the contracting officer issues a</w:t>
      </w:r>
      <w:r>
        <w:t xml:space="preserve"> </w:t>
      </w:r>
      <w:r w:rsidRPr="00AB3027">
        <w:t xml:space="preserve">show cause or cure notice, the cognizant contracting officer </w:t>
      </w:r>
      <w:r>
        <w:t>shall</w:t>
      </w:r>
      <w:r w:rsidRPr="00AB3027">
        <w:t xml:space="preserve"> submit a</w:t>
      </w:r>
      <w:r>
        <w:t xml:space="preserve"> </w:t>
      </w:r>
      <w:r w:rsidRPr="00AB3027">
        <w:t xml:space="preserve">copy of the issuance to the </w:t>
      </w:r>
      <w:r>
        <w:t>DON</w:t>
      </w:r>
      <w:r w:rsidRPr="00AB3027">
        <w:t xml:space="preserve"> Acquisition</w:t>
      </w:r>
      <w:r>
        <w:t xml:space="preserve"> </w:t>
      </w:r>
      <w:r w:rsidRPr="00AB3027">
        <w:t xml:space="preserve">Integrity Office AIO within five days </w:t>
      </w:r>
      <w:r>
        <w:t>by email at</w:t>
      </w:r>
      <w:r w:rsidRPr="00AB3027">
        <w:t xml:space="preserve"> </w:t>
      </w:r>
      <w:hyperlink r:id="rId17" w:history="1">
        <w:r w:rsidRPr="00AB3027">
          <w:rPr>
            <w:rStyle w:val="Hyperlink"/>
          </w:rPr>
          <w:t>aio@navy.mil</w:t>
        </w:r>
      </w:hyperlink>
      <w:r>
        <w:t xml:space="preserve"> with the subject “PGI 209.406-3 - </w:t>
      </w:r>
      <w:r w:rsidRPr="00AB3027">
        <w:t>Poor Performance Referral."</w:t>
      </w:r>
    </w:p>
    <w:p w:rsidR="00164ABB" w:rsidRPr="004B5336" w:rsidRDefault="00164ABB" w:rsidP="00894C8E">
      <w:pPr>
        <w:rPr>
          <w:szCs w:val="26"/>
        </w:rPr>
      </w:pPr>
      <w:r w:rsidRPr="00455801">
        <w:t xml:space="preserve">    (</w:t>
      </w:r>
      <w:r>
        <w:t>iv</w:t>
      </w:r>
      <w:r w:rsidRPr="00455801">
        <w:t>)(</w:t>
      </w:r>
      <w:r>
        <w:t>E</w:t>
      </w:r>
      <w:r w:rsidRPr="00455801">
        <w:t xml:space="preserve">) The summary shall also include comments regarding the U.S. Attorney’s positions on </w:t>
      </w:r>
      <w:r w:rsidRPr="00455801">
        <w:rPr>
          <w:szCs w:val="26"/>
        </w:rPr>
        <w:t>release of any investigative reports included in the report.</w:t>
      </w:r>
    </w:p>
    <w:p w:rsidR="00164ABB" w:rsidRPr="004B5336" w:rsidRDefault="00164ABB"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  </w:t>
      </w:r>
    </w:p>
    <w:p w:rsidR="00164ABB" w:rsidRPr="004B5336" w:rsidRDefault="00164ABB" w:rsidP="00894C8E">
      <w:r w:rsidRPr="00455801">
        <w:t xml:space="preserve">        </w:t>
      </w:r>
      <w:r>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rsidR="00164ABB" w:rsidRDefault="00164ABB" w:rsidP="00B44BE7">
      <w:pPr>
        <w:widowControl w:val="0"/>
        <w:tabs>
          <w:tab w:val="left" w:pos="3690"/>
        </w:tabs>
      </w:pPr>
    </w:p>
    <w:p w:rsidR="00164ABB" w:rsidRDefault="00164ABB" w:rsidP="00B44BE7">
      <w:pPr>
        <w:pStyle w:val="Heading3"/>
      </w:pPr>
      <w:bookmarkStart w:id="38" w:name="_Toc58257298"/>
      <w:bookmarkStart w:id="39" w:name="_Toc221088624"/>
      <w:bookmarkStart w:id="40" w:name="_Toc221944357"/>
      <w:bookmarkStart w:id="41" w:name="_Toc54782422"/>
      <w:r>
        <w:t>5209.407 Suspension.</w:t>
      </w:r>
      <w:bookmarkEnd w:id="38"/>
      <w:bookmarkEnd w:id="39"/>
      <w:bookmarkEnd w:id="40"/>
      <w:bookmarkEnd w:id="41"/>
    </w:p>
    <w:p w:rsidR="00164ABB" w:rsidRDefault="00164ABB" w:rsidP="00B44BE7">
      <w:pPr>
        <w:pStyle w:val="Heading4"/>
      </w:pPr>
      <w:bookmarkStart w:id="42" w:name="_Toc58257299"/>
      <w:bookmarkStart w:id="43" w:name="_Toc221088625"/>
      <w:bookmarkStart w:id="44" w:name="_Toc221944358"/>
      <w:bookmarkStart w:id="45" w:name="OLE_LINK1"/>
      <w:bookmarkStart w:id="46" w:name="OLE_LINK2"/>
      <w:r>
        <w:t>5209.407</w:t>
      </w:r>
      <w:r>
        <w:noBreakHyphen/>
        <w:t>3 Procedures.</w:t>
      </w:r>
      <w:bookmarkEnd w:id="42"/>
      <w:bookmarkEnd w:id="43"/>
      <w:bookmarkEnd w:id="44"/>
    </w:p>
    <w:bookmarkEnd w:id="45"/>
    <w:bookmarkEnd w:id="46"/>
    <w:p w:rsidR="00164ABB" w:rsidRDefault="00164ABB" w:rsidP="00EB14A2">
      <w:r>
        <w:t xml:space="preserve">   Refer all matters to AGC(AI).  Prepare and process reports in accordance with 5209.406-3.</w:t>
      </w:r>
      <w:bookmarkStart w:id="47" w:name="_Toc58257300"/>
      <w:bookmarkStart w:id="48" w:name="_Toc221088626"/>
      <w:bookmarkStart w:id="49" w:name="_Toc221944359"/>
    </w:p>
    <w:p w:rsidR="00164ABB" w:rsidRDefault="00164ABB" w:rsidP="00EB14A2"/>
    <w:p w:rsidR="00164ABB" w:rsidRDefault="00164ABB" w:rsidP="00B44BE7">
      <w:pPr>
        <w:pStyle w:val="Heading2"/>
      </w:pPr>
      <w:bookmarkStart w:id="50" w:name="_Toc54782423"/>
      <w:r>
        <w:t>SUBPART 5209.5—ORGANIZATIONAL AND CONSULTANT CONFLICTS OF INTEREST</w:t>
      </w:r>
      <w:bookmarkEnd w:id="47"/>
      <w:bookmarkEnd w:id="48"/>
      <w:bookmarkEnd w:id="49"/>
      <w:bookmarkEnd w:id="50"/>
    </w:p>
    <w:p w:rsidR="00164ABB" w:rsidRDefault="00164ABB" w:rsidP="00B44BE7">
      <w:pPr>
        <w:pStyle w:val="Heading3"/>
      </w:pPr>
      <w:bookmarkStart w:id="51" w:name="_Toc58257301"/>
      <w:bookmarkStart w:id="52" w:name="_Toc221088627"/>
      <w:bookmarkStart w:id="53" w:name="_Toc221944360"/>
      <w:bookmarkStart w:id="54" w:name="_Toc54782424"/>
      <w:r>
        <w:t>5209.503 Waiver.</w:t>
      </w:r>
      <w:bookmarkEnd w:id="51"/>
      <w:bookmarkEnd w:id="52"/>
      <w:bookmarkEnd w:id="53"/>
      <w:bookmarkEnd w:id="54"/>
    </w:p>
    <w:p w:rsidR="00164ABB" w:rsidRDefault="00164ABB" w:rsidP="00B44BE7">
      <w:pPr>
        <w:widowControl w:val="0"/>
        <w:tabs>
          <w:tab w:val="left" w:pos="3690"/>
        </w:tabs>
      </w:pPr>
      <w:r>
        <w:t xml:space="preserve">   The HCA is the agency head’s designee, without power of redelegation, for making the determinations required by FAR 9.503. </w:t>
      </w:r>
    </w:p>
    <w:p w:rsidR="00164ABB" w:rsidRDefault="00164ABB" w:rsidP="00B44BE7">
      <w:pPr>
        <w:widowControl w:val="0"/>
        <w:tabs>
          <w:tab w:val="left" w:pos="3690"/>
        </w:tabs>
      </w:pPr>
    </w:p>
    <w:p w:rsidR="00164ABB" w:rsidRDefault="00164ABB">
      <w:pPr>
        <w:rPr>
          <w:b/>
        </w:rPr>
      </w:pPr>
      <w:r>
        <w:br w:type="page"/>
      </w:r>
    </w:p>
    <w:p w:rsidR="00164ABB" w:rsidRDefault="00164ABB" w:rsidP="00B44BE7">
      <w:pPr>
        <w:pStyle w:val="Heading3"/>
      </w:pPr>
      <w:bookmarkStart w:id="55" w:name="_Toc54782425"/>
      <w:r>
        <w:t>5209.570 Limitations on contractors acting as lead system integrators.</w:t>
      </w:r>
      <w:bookmarkEnd w:id="55"/>
    </w:p>
    <w:p w:rsidR="00164ABB" w:rsidRPr="00124163" w:rsidRDefault="00164ABB" w:rsidP="00B44BE7">
      <w:r w:rsidRPr="00124163">
        <w:rPr>
          <w:rStyle w:val="Heading4Char"/>
        </w:rPr>
        <w:t>5209.570-2 Policy</w:t>
      </w:r>
      <w:r>
        <w:t>.</w:t>
      </w:r>
    </w:p>
    <w:p w:rsidR="00164ABB" w:rsidRDefault="00164ABB" w:rsidP="00EB14A2">
      <w:r w:rsidRPr="005613F7">
        <w:t xml:space="preserve">   (c)(2</w:t>
      </w:r>
      <w:r w:rsidRPr="005613F7">
        <w:rPr>
          <w:b/>
        </w:rPr>
        <w:t xml:space="preserve">) </w:t>
      </w:r>
      <w:r w:rsidRPr="005613F7">
        <w:t xml:space="preserve">Submit the required written determination for approval </w:t>
      </w:r>
      <w:r>
        <w:t xml:space="preserve">with a copy of the approved AS, STRAP, or MOPAS-S </w:t>
      </w:r>
      <w:r w:rsidRPr="005613F7">
        <w:t xml:space="preserve">by the </w:t>
      </w:r>
      <w:r>
        <w:t>SECDEF</w:t>
      </w:r>
      <w:r>
        <w:rPr>
          <w:rFonts w:cs="Courier New"/>
        </w:rPr>
        <w:t xml:space="preserve">/USD(AT&amp;L) </w:t>
      </w:r>
      <w:r w:rsidRPr="005613F7">
        <w:t xml:space="preserve">via </w:t>
      </w:r>
      <w:r>
        <w:t>DASN(P)</w:t>
      </w:r>
      <w:r w:rsidRPr="005613F7">
        <w:t xml:space="preserve"> </w:t>
      </w:r>
      <w:r>
        <w:t xml:space="preserve">by email at </w:t>
      </w:r>
      <w:hyperlink r:id="rId18" w:history="1">
        <w:r>
          <w:rPr>
            <w:rStyle w:val="Hyperlink"/>
            <w:szCs w:val="24"/>
          </w:rPr>
          <w:t>RDAJ&amp;As.fct</w:t>
        </w:r>
        <w:r w:rsidRPr="00CB56E1">
          <w:rPr>
            <w:rStyle w:val="Hyperlink"/>
            <w:szCs w:val="24"/>
          </w:rPr>
          <w:t>@navy.mil</w:t>
        </w:r>
      </w:hyperlink>
      <w:r>
        <w:t xml:space="preserve"> with the subject “[Activity Name] DFARS 209.570-2 - </w:t>
      </w:r>
      <w:r w:rsidRPr="005613F7">
        <w:t xml:space="preserve">D&amp;F </w:t>
      </w:r>
      <w:r>
        <w:t>to Use a Contractor to Perform Lead System Integrator Functions.”</w:t>
      </w:r>
    </w:p>
    <w:p w:rsidR="00164ABB" w:rsidRDefault="00164ABB">
      <w:pPr>
        <w:rPr>
          <w:b/>
          <w:sz w:val="32"/>
        </w:rPr>
      </w:pPr>
      <w:r>
        <w:br w:type="page"/>
      </w:r>
    </w:p>
    <w:p w:rsidR="008A4E31" w:rsidRDefault="008A4E31" w:rsidP="001C2D8A">
      <w:pPr>
        <w:rPr>
          <w:lang w:val="en"/>
        </w:rPr>
      </w:pPr>
    </w:p>
    <w:sectPr w:rsidR="008A4E31" w:rsidSect="004A33A9">
      <w:footerReference w:type="even" r:id="rId19"/>
      <w:foot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ABB" w:rsidRDefault="00164ABB">
      <w:r>
        <w:separator/>
      </w:r>
    </w:p>
  </w:endnote>
  <w:endnote w:type="continuationSeparator" w:id="0">
    <w:p w:rsidR="00164ABB" w:rsidRDefault="0016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ABB" w:rsidRDefault="00164ABB">
      <w:r>
        <w:separator/>
      </w:r>
    </w:p>
  </w:footnote>
  <w:footnote w:type="continuationSeparator" w:id="0">
    <w:p w:rsidR="00164ABB" w:rsidRDefault="00164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ABB"/>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aio@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54B7BC-45B1-4E71-A107-833B6B57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5806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