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94602" w14:textId="77777777" w:rsidR="00E87A9E" w:rsidRPr="009D5108" w:rsidRDefault="00E87A9E" w:rsidP="009D5108">
      <w:pPr>
        <w:rPr>
          <w:b/>
          <w:bCs/>
          <w:color w:val="000000" w:themeColor="text1"/>
          <w:sz w:val="32"/>
          <w:szCs w:val="32"/>
        </w:rPr>
      </w:pPr>
      <w:bookmarkStart w:id="0" w:name="BM5612"/>
      <w:bookmarkEnd w:id="0"/>
      <w:r w:rsidRPr="009D5108">
        <w:rPr>
          <w:b/>
          <w:bCs/>
          <w:color w:val="000000" w:themeColor="text1"/>
          <w:sz w:val="32"/>
          <w:szCs w:val="32"/>
        </w:rPr>
        <w:t xml:space="preserve">SOFARS PART 5612 - ACQUISITION OF COMMERCIAL ITEMS </w:t>
      </w:r>
    </w:p>
    <w:sdt>
      <w:sdtPr>
        <w:rPr>
          <w:rFonts w:eastAsia="Times New Roman" w:cs="Arial"/>
          <w:color w:val="auto"/>
          <w:sz w:val="22"/>
          <w:szCs w:val="20"/>
        </w:rPr>
        <w:id w:val="-410231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70224" w14:textId="572CFBDB" w:rsidR="009D5108" w:rsidRPr="009D5108" w:rsidRDefault="009D5108">
          <w:pPr>
            <w:pStyle w:val="TOCHeading"/>
            <w:rPr>
              <w:b/>
              <w:bCs/>
            </w:rPr>
          </w:pPr>
          <w:r w:rsidRPr="009D5108">
            <w:rPr>
              <w:b/>
              <w:bCs/>
            </w:rPr>
            <w:t>Table of Contents</w:t>
          </w:r>
        </w:p>
        <w:p w14:paraId="34BC310E" w14:textId="19199D8D" w:rsidR="00A30050" w:rsidRDefault="00A300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\n \h \z \u </w:instrText>
          </w:r>
          <w:r>
            <w:rPr>
              <w:b w:val="0"/>
            </w:rPr>
            <w:fldChar w:fldCharType="separate"/>
          </w:r>
          <w:hyperlink w:anchor="_Toc75349860" w:history="1">
            <w:r w:rsidRPr="00424624">
              <w:rPr>
                <w:rStyle w:val="Hyperlink"/>
                <w:noProof/>
              </w:rPr>
              <w:t>SOFARS PART 5612 ACQUISITION OF COMMERCIAL ITEMS</w:t>
            </w:r>
          </w:hyperlink>
        </w:p>
        <w:p w14:paraId="32B2ACD2" w14:textId="3DBDE463" w:rsidR="00A30050" w:rsidRDefault="00A300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49861" w:history="1">
            <w:r w:rsidRPr="00424624">
              <w:rPr>
                <w:rStyle w:val="Hyperlink"/>
                <w:noProof/>
              </w:rPr>
              <w:t>SUBPART 5612.1 - ACQUISITION OF COMMERCIAL ITEMS - GENERAL</w:t>
            </w:r>
          </w:hyperlink>
        </w:p>
        <w:p w14:paraId="0B9CB9C0" w14:textId="5915F6B2" w:rsidR="00A30050" w:rsidRDefault="00A300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9862" w:history="1">
            <w:r w:rsidRPr="00424624">
              <w:rPr>
                <w:rStyle w:val="Hyperlink"/>
                <w:noProof/>
              </w:rPr>
              <w:t>5612.101 Policy</w:t>
            </w:r>
          </w:hyperlink>
        </w:p>
        <w:p w14:paraId="168EBCD7" w14:textId="095E78FD" w:rsidR="00A30050" w:rsidRDefault="00A300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9863" w:history="1">
            <w:r w:rsidRPr="00424624">
              <w:rPr>
                <w:rStyle w:val="Hyperlink"/>
                <w:noProof/>
              </w:rPr>
              <w:t>5612.102 Applicability.</w:t>
            </w:r>
          </w:hyperlink>
        </w:p>
        <w:p w14:paraId="7CEF3F85" w14:textId="1FD63C8E" w:rsidR="00A30050" w:rsidRDefault="00A300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49864" w:history="1">
            <w:r w:rsidRPr="00424624">
              <w:rPr>
                <w:rStyle w:val="Hyperlink"/>
                <w:noProof/>
              </w:rPr>
              <w:t>SUBPART 5612.2 - SPECIAL REQUIREMENTS FOR THE ACQUISITION OF COMMERCIAL ITEMS</w:t>
            </w:r>
          </w:hyperlink>
        </w:p>
        <w:p w14:paraId="0164D319" w14:textId="72385F4E" w:rsidR="00A30050" w:rsidRDefault="00A300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9865" w:history="1">
            <w:r w:rsidRPr="00424624">
              <w:rPr>
                <w:rStyle w:val="Hyperlink"/>
                <w:noProof/>
              </w:rPr>
              <w:t>5612.202 Market Research and Description of Agency Need.</w:t>
            </w:r>
          </w:hyperlink>
        </w:p>
        <w:p w14:paraId="14030A47" w14:textId="495195E2" w:rsidR="00A30050" w:rsidRDefault="00A30050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75349866" w:history="1">
            <w:r w:rsidRPr="00424624">
              <w:rPr>
                <w:rStyle w:val="Hyperlink"/>
                <w:noProof/>
              </w:rPr>
              <w:t>5612.207-90 Contract Type.</w:t>
            </w:r>
          </w:hyperlink>
        </w:p>
        <w:p w14:paraId="53ADEF01" w14:textId="5F45FF89" w:rsidR="00A30050" w:rsidRDefault="00A300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49867" w:history="1">
            <w:r w:rsidRPr="00424624">
              <w:rPr>
                <w:rStyle w:val="Hyperlink"/>
                <w:noProof/>
              </w:rPr>
              <w:t>SUBPART 5612.3 - SOLICITATION PROVISIONS AND CONTRACT CLAUSES FOR THE ACQUISITION OF COMMERCIAL ITEMS</w:t>
            </w:r>
          </w:hyperlink>
        </w:p>
        <w:p w14:paraId="52B6DAF5" w14:textId="27F0DA30" w:rsidR="00A30050" w:rsidRDefault="00A3005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9868" w:history="1">
            <w:r w:rsidRPr="00424624">
              <w:rPr>
                <w:rStyle w:val="Hyperlink"/>
                <w:noProof/>
              </w:rPr>
              <w:t xml:space="preserve">5612.302 Tailoring of Provisions and Clauses for Acquisition of Commercial Items. </w:t>
            </w:r>
            <w:r w:rsidRPr="00424624">
              <w:rPr>
                <w:rStyle w:val="Hyperlink"/>
                <w:i/>
                <w:noProof/>
              </w:rPr>
              <w:t>(Removed June 2021)</w:t>
            </w:r>
          </w:hyperlink>
        </w:p>
        <w:p w14:paraId="15B9D601" w14:textId="4BFAC637" w:rsidR="009D5108" w:rsidRDefault="00A30050">
          <w:r>
            <w:rPr>
              <w:b/>
            </w:rPr>
            <w:fldChar w:fldCharType="end"/>
          </w:r>
        </w:p>
      </w:sdtContent>
    </w:sdt>
    <w:p w14:paraId="43691939" w14:textId="77777777" w:rsidR="00E87A9E" w:rsidRPr="003C6FCC" w:rsidRDefault="00E87A9E" w:rsidP="00E87A9E">
      <w:pPr>
        <w:rPr>
          <w:b/>
        </w:rPr>
      </w:pPr>
    </w:p>
    <w:p w14:paraId="31F96D2F" w14:textId="77777777" w:rsidR="00E87A9E" w:rsidRPr="003C6FCC" w:rsidRDefault="00E87A9E" w:rsidP="00E87A9E">
      <w:pPr>
        <w:pStyle w:val="Heading1"/>
      </w:pPr>
      <w:bookmarkStart w:id="1" w:name="_Toc75349860"/>
      <w:r w:rsidRPr="003C6FCC">
        <w:t>SOFARS PART 5612</w:t>
      </w:r>
      <w:r w:rsidRPr="003C6FCC">
        <w:br/>
        <w:t>ACQUISITION OF COMMERCIAL ITEMS</w:t>
      </w:r>
      <w:bookmarkEnd w:id="1"/>
      <w:r w:rsidRPr="003C6FCC">
        <w:t xml:space="preserve"> </w:t>
      </w:r>
    </w:p>
    <w:p w14:paraId="48DE76DF" w14:textId="77777777" w:rsidR="00E87A9E" w:rsidRPr="00E87A9E" w:rsidRDefault="00E87A9E" w:rsidP="00E87A9E">
      <w:pPr>
        <w:pStyle w:val="Heading2"/>
        <w:rPr>
          <w:szCs w:val="20"/>
        </w:rPr>
      </w:pPr>
    </w:p>
    <w:p w14:paraId="198317D7" w14:textId="77777777" w:rsidR="00E87A9E" w:rsidRPr="00E87A9E" w:rsidRDefault="00E87A9E" w:rsidP="00E87A9E">
      <w:pPr>
        <w:pStyle w:val="Heading2"/>
        <w:rPr>
          <w:szCs w:val="20"/>
        </w:rPr>
      </w:pPr>
      <w:bookmarkStart w:id="2" w:name="_Toc75349861"/>
      <w:r w:rsidRPr="00E87A9E">
        <w:rPr>
          <w:szCs w:val="20"/>
        </w:rPr>
        <w:t>SUBPART 5612.1 - ACQUISITION OF COMMERCIAL ITEMS - GENERAL</w:t>
      </w:r>
      <w:bookmarkEnd w:id="2"/>
    </w:p>
    <w:p w14:paraId="553649E1" w14:textId="77777777" w:rsidR="00E87A9E" w:rsidRPr="00E87A9E" w:rsidRDefault="00E87A9E" w:rsidP="00E87A9E">
      <w:pPr>
        <w:rPr>
          <w:b/>
          <w:sz w:val="20"/>
        </w:rPr>
      </w:pPr>
      <w:bookmarkStart w:id="3" w:name="BM101"/>
      <w:bookmarkStart w:id="4" w:name="_Toc75349862"/>
      <w:bookmarkEnd w:id="3"/>
      <w:r w:rsidRPr="00E87A9E">
        <w:rPr>
          <w:rStyle w:val="Heading3Char"/>
          <w:sz w:val="20"/>
        </w:rPr>
        <w:t>5612.101 Policy</w:t>
      </w:r>
      <w:bookmarkEnd w:id="4"/>
      <w:r w:rsidRPr="00E87A9E">
        <w:rPr>
          <w:b/>
          <w:sz w:val="20"/>
        </w:rPr>
        <w:t>.</w:t>
      </w:r>
    </w:p>
    <w:p w14:paraId="1EBD0E1D" w14:textId="77777777" w:rsidR="00E87A9E" w:rsidRPr="00E87A9E" w:rsidRDefault="00E87A9E" w:rsidP="00E87A9E">
      <w:pPr>
        <w:rPr>
          <w:sz w:val="20"/>
        </w:rPr>
      </w:pPr>
      <w:r w:rsidRPr="00E87A9E">
        <w:rPr>
          <w:sz w:val="20"/>
        </w:rPr>
        <w:t>If during the acquisition process new evidence or additional requirements indicate the item no longer falls into the category of a commercial item, the solicitation shall be cancelled and reissued.</w:t>
      </w:r>
    </w:p>
    <w:p w14:paraId="55D32C0D" w14:textId="77777777" w:rsidR="00E87A9E" w:rsidRPr="00E87A9E" w:rsidRDefault="00E87A9E" w:rsidP="00E87A9E">
      <w:pPr>
        <w:pStyle w:val="Heading3"/>
      </w:pPr>
      <w:bookmarkStart w:id="5" w:name="OLE_LINK1"/>
      <w:bookmarkStart w:id="6" w:name="OLE_LINK2"/>
      <w:bookmarkStart w:id="7" w:name="_Toc75349863"/>
      <w:r w:rsidRPr="00E87A9E">
        <w:t>5612.102 Applicability.</w:t>
      </w:r>
      <w:bookmarkEnd w:id="7"/>
      <w:r w:rsidRPr="00E87A9E">
        <w:t xml:space="preserve"> </w:t>
      </w:r>
    </w:p>
    <w:p w14:paraId="214DCD6F" w14:textId="77777777" w:rsidR="00E87A9E" w:rsidRPr="00E87A9E" w:rsidRDefault="00E87A9E" w:rsidP="00E87A9E">
      <w:pPr>
        <w:rPr>
          <w:i/>
          <w:sz w:val="20"/>
        </w:rPr>
      </w:pPr>
      <w:r w:rsidRPr="00E87A9E">
        <w:rPr>
          <w:i/>
          <w:sz w:val="20"/>
        </w:rPr>
        <w:t>(Revised June 2018)</w:t>
      </w:r>
    </w:p>
    <w:p w14:paraId="40CEE594" w14:textId="318402DA" w:rsidR="00E87A9E" w:rsidRPr="00E87A9E" w:rsidRDefault="00E87A9E" w:rsidP="00E87A9E">
      <w:pPr>
        <w:pStyle w:val="List1"/>
      </w:pPr>
      <w:bookmarkStart w:id="8" w:name="BM102"/>
      <w:bookmarkEnd w:id="8"/>
      <w:r w:rsidRPr="00E87A9E">
        <w:t xml:space="preserve">(a)(1) When using FAR Part 12 procedures for acquisitions exceeding $1 million in value, the RAO, APM, or PM is responsible for completing the </w:t>
      </w:r>
      <w:r w:rsidRPr="00F42518">
        <w:t>commerciality determination memorandum template</w:t>
      </w:r>
      <w:r w:rsidRPr="00E87A9E">
        <w:t>).</w:t>
      </w:r>
    </w:p>
    <w:bookmarkEnd w:id="5"/>
    <w:bookmarkEnd w:id="6"/>
    <w:p w14:paraId="5C4A38D4" w14:textId="77777777" w:rsidR="00E87A9E" w:rsidRPr="00E87A9E" w:rsidRDefault="00E87A9E" w:rsidP="00E87A9E">
      <w:pPr>
        <w:pStyle w:val="List1"/>
      </w:pPr>
      <w:r w:rsidRPr="00E87A9E">
        <w:t xml:space="preserve">(f)(1) The Director of Procurement, USSOCOM, as the head of agency, delegates the authority to determine applicability of </w:t>
      </w:r>
      <w:hyperlink r:id="rId11" w:anchor="i1113668" w:history="1">
        <w:r w:rsidRPr="00E87A9E">
          <w:rPr>
            <w:rStyle w:val="Hyperlink"/>
          </w:rPr>
          <w:t>FAR 12.102(f)</w:t>
        </w:r>
      </w:hyperlink>
      <w:r w:rsidRPr="00E87A9E">
        <w:t xml:space="preserve"> to USSOCOM headquarters contracting divisions and field contracting office chiefs.  Determinations are to be in writing and included in each file. </w:t>
      </w:r>
    </w:p>
    <w:p w14:paraId="26730398" w14:textId="77777777" w:rsidR="00E87A9E" w:rsidRPr="00E87A9E" w:rsidRDefault="00E87A9E" w:rsidP="00E87A9E">
      <w:pPr>
        <w:pStyle w:val="Heading2"/>
        <w:rPr>
          <w:szCs w:val="20"/>
        </w:rPr>
      </w:pPr>
      <w:bookmarkStart w:id="9" w:name="_Toc75349864"/>
      <w:r w:rsidRPr="00E87A9E">
        <w:rPr>
          <w:szCs w:val="20"/>
        </w:rPr>
        <w:t>SUBPART 5612.2 - SPECIAL REQUIREMENTS FOR THE ACQUISITION OF COMMERCIAL ITEMS</w:t>
      </w:r>
      <w:bookmarkEnd w:id="9"/>
      <w:r w:rsidRPr="00E87A9E">
        <w:rPr>
          <w:szCs w:val="20"/>
        </w:rPr>
        <w:t xml:space="preserve"> </w:t>
      </w:r>
    </w:p>
    <w:p w14:paraId="255DAB3F" w14:textId="77777777" w:rsidR="00E87A9E" w:rsidRPr="00E87A9E" w:rsidRDefault="00E87A9E" w:rsidP="00E87A9E">
      <w:pPr>
        <w:rPr>
          <w:i/>
          <w:sz w:val="20"/>
        </w:rPr>
      </w:pPr>
      <w:r w:rsidRPr="00E87A9E">
        <w:rPr>
          <w:i/>
          <w:sz w:val="20"/>
        </w:rPr>
        <w:t>(Added July 2008)</w:t>
      </w:r>
    </w:p>
    <w:p w14:paraId="157F5F3D" w14:textId="77777777" w:rsidR="00E87A9E" w:rsidRPr="00E87A9E" w:rsidRDefault="00E87A9E" w:rsidP="00E87A9E">
      <w:pPr>
        <w:pStyle w:val="Heading3"/>
      </w:pPr>
      <w:bookmarkStart w:id="10" w:name="BM207_90"/>
      <w:bookmarkStart w:id="11" w:name="BM12_202"/>
      <w:bookmarkStart w:id="12" w:name="_Toc75349865"/>
      <w:bookmarkEnd w:id="10"/>
      <w:bookmarkEnd w:id="11"/>
      <w:r w:rsidRPr="00E87A9E">
        <w:t>5612.202 Market Research and Description of Agency Need.</w:t>
      </w:r>
      <w:bookmarkEnd w:id="12"/>
    </w:p>
    <w:p w14:paraId="52756859" w14:textId="107ACDB0" w:rsidR="00E87A9E" w:rsidRPr="00E87A9E" w:rsidRDefault="00E87A9E" w:rsidP="00E87A9E">
      <w:pPr>
        <w:pStyle w:val="List1"/>
      </w:pPr>
      <w:r w:rsidRPr="00E87A9E">
        <w:t xml:space="preserve">(a) For acquisitions in excess of the simplified acquisition threshold, the </w:t>
      </w:r>
      <w:r w:rsidRPr="00F42518">
        <w:t>market research report template</w:t>
      </w:r>
      <w:r w:rsidRPr="00E87A9E">
        <w:t xml:space="preserve"> should be completed. </w:t>
      </w:r>
    </w:p>
    <w:p w14:paraId="7D30F937" w14:textId="77777777" w:rsidR="00E87A9E" w:rsidRPr="00E87A9E" w:rsidRDefault="00E87A9E" w:rsidP="00E87A9E">
      <w:pPr>
        <w:pStyle w:val="Heading4"/>
      </w:pPr>
      <w:bookmarkStart w:id="13" w:name="_Toc75349866"/>
      <w:r w:rsidRPr="00E87A9E">
        <w:lastRenderedPageBreak/>
        <w:t>5612.207-90 Contract Type.</w:t>
      </w:r>
      <w:bookmarkEnd w:id="13"/>
    </w:p>
    <w:p w14:paraId="6B9C8943" w14:textId="5BAD79DF" w:rsidR="00E87A9E" w:rsidRPr="00E87A9E" w:rsidRDefault="00E87A9E" w:rsidP="005E40DF">
      <w:pPr>
        <w:pStyle w:val="List1"/>
      </w:pPr>
      <w:r w:rsidRPr="00E87A9E">
        <w:t xml:space="preserve">The determination to use a firm-fixed-price with economic price adjustment (FFP/EPA) shall be documented. See </w:t>
      </w:r>
      <w:hyperlink r:id="rId12" w:anchor="i1104876" w:history="1">
        <w:r w:rsidRPr="00E87A9E">
          <w:rPr>
            <w:rStyle w:val="Hyperlink"/>
          </w:rPr>
          <w:t>FAR 16.203-3</w:t>
        </w:r>
      </w:hyperlink>
      <w:r w:rsidRPr="00E87A9E">
        <w:t xml:space="preserve"> for the required contents of the determination.</w:t>
      </w:r>
    </w:p>
    <w:p w14:paraId="6F4AD0E3" w14:textId="77777777" w:rsidR="00E87A9E" w:rsidRPr="00E87A9E" w:rsidRDefault="00E87A9E" w:rsidP="00E87A9E">
      <w:pPr>
        <w:pStyle w:val="Heading2"/>
        <w:rPr>
          <w:szCs w:val="20"/>
        </w:rPr>
      </w:pPr>
      <w:bookmarkStart w:id="14" w:name="_Toc75349867"/>
      <w:r w:rsidRPr="00E87A9E">
        <w:rPr>
          <w:szCs w:val="20"/>
        </w:rPr>
        <w:t>SUBPART 5612.3 - SOLICITATION PROVISIONS AND CONTRACT CLAUSES FOR THE ACQUISITION OF COMMERCIAL ITEMS</w:t>
      </w:r>
      <w:bookmarkEnd w:id="14"/>
    </w:p>
    <w:p w14:paraId="437671FD" w14:textId="1A89D510" w:rsidR="00E87A9E" w:rsidRPr="009D5108" w:rsidRDefault="00E87A9E" w:rsidP="009D5108">
      <w:pPr>
        <w:pStyle w:val="Heading3"/>
        <w:rPr>
          <w:b w:val="0"/>
          <w:bCs w:val="0"/>
        </w:rPr>
      </w:pPr>
      <w:bookmarkStart w:id="15" w:name="BM302"/>
      <w:bookmarkStart w:id="16" w:name="_Toc75349868"/>
      <w:bookmarkEnd w:id="15"/>
      <w:r w:rsidRPr="00E87A9E">
        <w:t>5612.302 Tailoring of Provisions and Clauses for Acquisition of Commercial Items.</w:t>
      </w:r>
      <w:r w:rsidR="009D5108">
        <w:t xml:space="preserve"> </w:t>
      </w:r>
      <w:r w:rsidRPr="009D5108">
        <w:rPr>
          <w:b w:val="0"/>
          <w:bCs w:val="0"/>
          <w:i/>
        </w:rPr>
        <w:t>(Removed Ju</w:t>
      </w:r>
      <w:r w:rsidR="00D35453" w:rsidRPr="009D5108">
        <w:rPr>
          <w:b w:val="0"/>
          <w:bCs w:val="0"/>
          <w:i/>
        </w:rPr>
        <w:t>ne 2021</w:t>
      </w:r>
      <w:r w:rsidRPr="009D5108">
        <w:rPr>
          <w:b w:val="0"/>
          <w:bCs w:val="0"/>
          <w:i/>
        </w:rPr>
        <w:t>)</w:t>
      </w:r>
      <w:bookmarkEnd w:id="16"/>
    </w:p>
    <w:p w14:paraId="31FFCEBA" w14:textId="77777777" w:rsidR="00E87A9E" w:rsidRPr="00E87A9E" w:rsidRDefault="00E87A9E" w:rsidP="00E87A9E">
      <w:pPr>
        <w:rPr>
          <w:sz w:val="20"/>
        </w:rPr>
      </w:pPr>
    </w:p>
    <w:p w14:paraId="3DAA8AEA" w14:textId="77777777" w:rsidR="00E87A9E" w:rsidRPr="00E87A9E" w:rsidRDefault="00E87A9E" w:rsidP="00E87A9E">
      <w:pPr>
        <w:spacing w:before="0" w:after="0"/>
        <w:rPr>
          <w:sz w:val="20"/>
        </w:rPr>
      </w:pPr>
      <w:r w:rsidRPr="00E87A9E">
        <w:rPr>
          <w:sz w:val="20"/>
        </w:rPr>
        <w:t>HQ, United States Special Operations Command</w:t>
      </w:r>
      <w:r w:rsidRPr="00E87A9E">
        <w:rPr>
          <w:sz w:val="20"/>
        </w:rPr>
        <w:br/>
        <w:t>Special Operations Forces Acquisition, Technology, and Logistics (SOF AT&amp;L-K)</w:t>
      </w:r>
    </w:p>
    <w:p w14:paraId="52A00893" w14:textId="77777777" w:rsidR="00E87A9E" w:rsidRPr="00E87A9E" w:rsidRDefault="00E87A9E" w:rsidP="00E87A9E">
      <w:pPr>
        <w:spacing w:before="0" w:after="0"/>
        <w:rPr>
          <w:sz w:val="20"/>
        </w:rPr>
      </w:pPr>
      <w:r w:rsidRPr="00E87A9E">
        <w:rPr>
          <w:sz w:val="20"/>
        </w:rPr>
        <w:t>SOFARS 5612</w:t>
      </w:r>
    </w:p>
    <w:p w14:paraId="6075D9E0" w14:textId="77777777" w:rsidR="00E87A9E" w:rsidRPr="00E87A9E" w:rsidRDefault="00E87A9E" w:rsidP="00E87A9E">
      <w:pPr>
        <w:spacing w:before="0" w:after="0"/>
        <w:rPr>
          <w:sz w:val="20"/>
        </w:rPr>
      </w:pPr>
      <w:r w:rsidRPr="00E87A9E">
        <w:rPr>
          <w:sz w:val="20"/>
        </w:rPr>
        <w:t>February 2007</w:t>
      </w:r>
    </w:p>
    <w:p w14:paraId="2434447D" w14:textId="77777777" w:rsidR="00E87A9E" w:rsidRPr="003C6FCC" w:rsidRDefault="00E87A9E" w:rsidP="00E87A9E">
      <w:r w:rsidRPr="003C6FCC">
        <w:t> </w:t>
      </w:r>
    </w:p>
    <w:p w14:paraId="04342849" w14:textId="77777777" w:rsidR="00E87A9E" w:rsidRPr="003C6FCC" w:rsidRDefault="00E87A9E" w:rsidP="00E87A9E"/>
    <w:p w14:paraId="5FFA26D3" w14:textId="77777777" w:rsidR="007059C1" w:rsidRPr="00476DD7" w:rsidRDefault="007059C1" w:rsidP="00BE196B">
      <w:pPr>
        <w:rPr>
          <w:sz w:val="20"/>
        </w:rPr>
      </w:pPr>
    </w:p>
    <w:sectPr w:rsidR="007059C1" w:rsidRPr="00476DD7" w:rsidSect="002E350E">
      <w:headerReference w:type="default" r:id="rId13"/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ACB7C" w14:textId="77777777" w:rsidR="00476DD7" w:rsidRDefault="00476DD7">
      <w:r>
        <w:separator/>
      </w:r>
    </w:p>
  </w:endnote>
  <w:endnote w:type="continuationSeparator" w:id="0">
    <w:p w14:paraId="79E298B8" w14:textId="77777777" w:rsidR="00476DD7" w:rsidRDefault="0047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0503C" w14:textId="77777777" w:rsidR="00476DD7" w:rsidRDefault="00476DD7">
      <w:r>
        <w:separator/>
      </w:r>
    </w:p>
  </w:footnote>
  <w:footnote w:type="continuationSeparator" w:id="0">
    <w:p w14:paraId="7C0AB196" w14:textId="77777777" w:rsidR="00476DD7" w:rsidRDefault="00476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335A8" w14:textId="77777777" w:rsidR="00190A94" w:rsidRDefault="00A300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3B09D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E82D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7005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4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40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A87F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80D2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BA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3E2E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C66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9385B10"/>
    <w:multiLevelType w:val="hybridMultilevel"/>
    <w:tmpl w:val="E87EB0EA"/>
    <w:lvl w:ilvl="0" w:tplc="34809A8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6C20AA80">
      <w:start w:val="1"/>
      <w:numFmt w:val="lowerRoman"/>
      <w:lvlText w:val="(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02490"/>
    <w:multiLevelType w:val="multilevel"/>
    <w:tmpl w:val="E36E74CA"/>
    <w:lvl w:ilvl="0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Restart w:val="0"/>
      <w:lvlText w:val="(%2)"/>
      <w:lvlJc w:val="left"/>
      <w:pPr>
        <w:tabs>
          <w:tab w:val="num" w:pos="720"/>
        </w:tabs>
        <w:ind w:left="360" w:firstLine="0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9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315941"/>
    <w:multiLevelType w:val="hybridMultilevel"/>
    <w:tmpl w:val="9C0C190C"/>
    <w:lvl w:ilvl="0" w:tplc="97E492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4591D"/>
    <w:multiLevelType w:val="multilevel"/>
    <w:tmpl w:val="E36E74CA"/>
    <w:lvl w:ilvl="0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Restart w:val="0"/>
      <w:lvlText w:val="(%2)"/>
      <w:lvlJc w:val="left"/>
      <w:pPr>
        <w:tabs>
          <w:tab w:val="num" w:pos="720"/>
        </w:tabs>
        <w:ind w:left="360" w:firstLine="0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2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71AB6"/>
    <w:multiLevelType w:val="hybridMultilevel"/>
    <w:tmpl w:val="C3309CF4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D3D2BA3"/>
    <w:multiLevelType w:val="hybridMultilevel"/>
    <w:tmpl w:val="8F4A8AC8"/>
    <w:lvl w:ilvl="0" w:tplc="6C20AA80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F67ECD"/>
    <w:multiLevelType w:val="hybridMultilevel"/>
    <w:tmpl w:val="89D88EF0"/>
    <w:lvl w:ilvl="0" w:tplc="24147ECA">
      <w:start w:val="1"/>
      <w:numFmt w:val="decimal"/>
      <w:lvlText w:val="(%1)"/>
      <w:lvlJc w:val="left"/>
      <w:pPr>
        <w:tabs>
          <w:tab w:val="num" w:pos="360"/>
        </w:tabs>
        <w:ind w:left="36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7"/>
  </w:num>
  <w:num w:numId="3">
    <w:abstractNumId w:val="22"/>
  </w:num>
  <w:num w:numId="4">
    <w:abstractNumId w:val="25"/>
  </w:num>
  <w:num w:numId="5">
    <w:abstractNumId w:val="34"/>
  </w:num>
  <w:num w:numId="6">
    <w:abstractNumId w:val="2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24"/>
  </w:num>
  <w:num w:numId="19">
    <w:abstractNumId w:val="35"/>
  </w:num>
  <w:num w:numId="20">
    <w:abstractNumId w:val="10"/>
  </w:num>
  <w:num w:numId="21">
    <w:abstractNumId w:val="26"/>
  </w:num>
  <w:num w:numId="22">
    <w:abstractNumId w:val="33"/>
  </w:num>
  <w:num w:numId="23">
    <w:abstractNumId w:val="19"/>
  </w:num>
  <w:num w:numId="24">
    <w:abstractNumId w:val="17"/>
  </w:num>
  <w:num w:numId="25">
    <w:abstractNumId w:val="16"/>
  </w:num>
  <w:num w:numId="26">
    <w:abstractNumId w:val="13"/>
  </w:num>
  <w:num w:numId="27">
    <w:abstractNumId w:val="29"/>
  </w:num>
  <w:num w:numId="28">
    <w:abstractNumId w:val="11"/>
  </w:num>
  <w:num w:numId="29">
    <w:abstractNumId w:val="36"/>
  </w:num>
  <w:num w:numId="30">
    <w:abstractNumId w:val="32"/>
  </w:num>
  <w:num w:numId="31">
    <w:abstractNumId w:val="14"/>
  </w:num>
  <w:num w:numId="32">
    <w:abstractNumId w:val="21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20"/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D7"/>
    <w:rsid w:val="00040798"/>
    <w:rsid w:val="00072DE6"/>
    <w:rsid w:val="000C65F5"/>
    <w:rsid w:val="000E19AF"/>
    <w:rsid w:val="000E6E2A"/>
    <w:rsid w:val="000F5037"/>
    <w:rsid w:val="00182208"/>
    <w:rsid w:val="00195EAD"/>
    <w:rsid w:val="001A79C7"/>
    <w:rsid w:val="001B5390"/>
    <w:rsid w:val="001D4638"/>
    <w:rsid w:val="002110A6"/>
    <w:rsid w:val="00214BB7"/>
    <w:rsid w:val="00261D44"/>
    <w:rsid w:val="00274018"/>
    <w:rsid w:val="00275457"/>
    <w:rsid w:val="002954CC"/>
    <w:rsid w:val="00326934"/>
    <w:rsid w:val="003608B6"/>
    <w:rsid w:val="003768C3"/>
    <w:rsid w:val="003772D3"/>
    <w:rsid w:val="003B3152"/>
    <w:rsid w:val="003F0F42"/>
    <w:rsid w:val="0040054A"/>
    <w:rsid w:val="00412DCC"/>
    <w:rsid w:val="00417B94"/>
    <w:rsid w:val="00422A3D"/>
    <w:rsid w:val="00442AD5"/>
    <w:rsid w:val="00452346"/>
    <w:rsid w:val="00461665"/>
    <w:rsid w:val="00474B54"/>
    <w:rsid w:val="00476DD7"/>
    <w:rsid w:val="00482B1F"/>
    <w:rsid w:val="00490D33"/>
    <w:rsid w:val="00491BBC"/>
    <w:rsid w:val="004A5A42"/>
    <w:rsid w:val="004B17FA"/>
    <w:rsid w:val="004D0746"/>
    <w:rsid w:val="004E416B"/>
    <w:rsid w:val="004F52F1"/>
    <w:rsid w:val="00581655"/>
    <w:rsid w:val="005A4035"/>
    <w:rsid w:val="005C406D"/>
    <w:rsid w:val="005E40DF"/>
    <w:rsid w:val="005E6DBD"/>
    <w:rsid w:val="0061650B"/>
    <w:rsid w:val="00663BFC"/>
    <w:rsid w:val="00683B9C"/>
    <w:rsid w:val="00694479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87B4D"/>
    <w:rsid w:val="0079500D"/>
    <w:rsid w:val="007C1D83"/>
    <w:rsid w:val="008114E7"/>
    <w:rsid w:val="00817171"/>
    <w:rsid w:val="008921AD"/>
    <w:rsid w:val="008B3E9B"/>
    <w:rsid w:val="008C4E69"/>
    <w:rsid w:val="0091065B"/>
    <w:rsid w:val="009703A1"/>
    <w:rsid w:val="00991E52"/>
    <w:rsid w:val="009C4D36"/>
    <w:rsid w:val="009D5108"/>
    <w:rsid w:val="009E226C"/>
    <w:rsid w:val="009F5F24"/>
    <w:rsid w:val="00A15E6F"/>
    <w:rsid w:val="00A30050"/>
    <w:rsid w:val="00A40B36"/>
    <w:rsid w:val="00A50C02"/>
    <w:rsid w:val="00A70C79"/>
    <w:rsid w:val="00A71E8C"/>
    <w:rsid w:val="00A84862"/>
    <w:rsid w:val="00B242FC"/>
    <w:rsid w:val="00B26F4A"/>
    <w:rsid w:val="00B30CA5"/>
    <w:rsid w:val="00B51BD8"/>
    <w:rsid w:val="00B52521"/>
    <w:rsid w:val="00B5536C"/>
    <w:rsid w:val="00B727F8"/>
    <w:rsid w:val="00BE196B"/>
    <w:rsid w:val="00C271D5"/>
    <w:rsid w:val="00C310FE"/>
    <w:rsid w:val="00C57FC4"/>
    <w:rsid w:val="00C946DE"/>
    <w:rsid w:val="00C96C49"/>
    <w:rsid w:val="00CB2806"/>
    <w:rsid w:val="00CF18B4"/>
    <w:rsid w:val="00D23DBC"/>
    <w:rsid w:val="00D35453"/>
    <w:rsid w:val="00D50A0B"/>
    <w:rsid w:val="00D57C76"/>
    <w:rsid w:val="00D828A5"/>
    <w:rsid w:val="00DA6976"/>
    <w:rsid w:val="00DD456B"/>
    <w:rsid w:val="00E13A99"/>
    <w:rsid w:val="00E35FEF"/>
    <w:rsid w:val="00E41EC2"/>
    <w:rsid w:val="00E4240B"/>
    <w:rsid w:val="00E82704"/>
    <w:rsid w:val="00E87A9E"/>
    <w:rsid w:val="00EB5CEC"/>
    <w:rsid w:val="00EC19C2"/>
    <w:rsid w:val="00EC280F"/>
    <w:rsid w:val="00EE39BA"/>
    <w:rsid w:val="00EF6835"/>
    <w:rsid w:val="00F11651"/>
    <w:rsid w:val="00F12B41"/>
    <w:rsid w:val="00F170A5"/>
    <w:rsid w:val="00F2117D"/>
    <w:rsid w:val="00F22B4E"/>
    <w:rsid w:val="00F23469"/>
    <w:rsid w:val="00F42518"/>
    <w:rsid w:val="00F436F8"/>
    <w:rsid w:val="00F4410B"/>
    <w:rsid w:val="00F76257"/>
    <w:rsid w:val="00F8721D"/>
    <w:rsid w:val="00FB6C0F"/>
    <w:rsid w:val="00FD2BA3"/>
    <w:rsid w:val="00FF3CCB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6A4C7"/>
  <w15:docId w15:val="{F686F753-4F1B-4723-B72A-64A66618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7A9E"/>
    <w:pPr>
      <w:widowControl w:val="0"/>
      <w:snapToGrid w:val="0"/>
      <w:spacing w:before="100" w:after="100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214BB7"/>
    <w:pPr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4BB7"/>
    <w:pPr>
      <w:spacing w:before="0" w:after="120"/>
      <w:outlineLvl w:val="1"/>
    </w:pPr>
    <w:rPr>
      <w:rFonts w:eastAsiaTheme="majorEastAsia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14BB7"/>
    <w:pPr>
      <w:spacing w:before="0" w:after="120"/>
      <w:outlineLvl w:val="2"/>
    </w:pPr>
    <w:rPr>
      <w:rFonts w:eastAsiaTheme="majorEastAsia"/>
      <w:b/>
      <w:bCs/>
      <w:sz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214BB7"/>
    <w:pPr>
      <w:spacing w:before="0" w:after="120"/>
      <w:outlineLvl w:val="3"/>
    </w:pPr>
    <w:rPr>
      <w:rFonts w:eastAsiaTheme="majorEastAsia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pPr>
      <w:widowControl/>
      <w:snapToGrid/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outlineLvl w:val="4"/>
    </w:pPr>
    <w:rPr>
      <w:b/>
    </w:rPr>
  </w:style>
  <w:style w:type="paragraph" w:customStyle="1" w:styleId="H5">
    <w:name w:val="H5"/>
    <w:basedOn w:val="Normal"/>
    <w:next w:val="Normal"/>
    <w:pPr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uiPriority w:val="99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pPr>
      <w:widowControl/>
      <w:snapToGrid/>
      <w:spacing w:before="0" w:after="0"/>
    </w:pPr>
    <w:rPr>
      <w:rFonts w:ascii="Calibri" w:eastAsia="Calibri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214BB7"/>
    <w:rPr>
      <w:rFonts w:ascii="Arial" w:eastAsiaTheme="majorEastAsia" w:hAnsi="Arial" w:cs="Arial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rsid w:val="00214BB7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214BB7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214BB7"/>
    <w:rPr>
      <w:rFonts w:ascii="Arial" w:eastAsiaTheme="majorEastAsia" w:hAnsi="Arial" w:cs="Arial"/>
      <w:b/>
      <w:bCs/>
      <w:iCs/>
    </w:rPr>
  </w:style>
  <w:style w:type="paragraph" w:styleId="List">
    <w:name w:val="List"/>
    <w:basedOn w:val="Normal"/>
    <w:unhideWhenUsed/>
    <w:rsid w:val="00214BB7"/>
    <w:pPr>
      <w:spacing w:before="120" w:after="120"/>
    </w:pPr>
  </w:style>
  <w:style w:type="paragraph" w:styleId="List2">
    <w:name w:val="List 2"/>
    <w:basedOn w:val="Normal"/>
    <w:unhideWhenUsed/>
    <w:rsid w:val="00BE196B"/>
    <w:pPr>
      <w:spacing w:before="120" w:after="120"/>
      <w:ind w:left="360"/>
    </w:pPr>
    <w:rPr>
      <w:sz w:val="20"/>
    </w:rPr>
  </w:style>
  <w:style w:type="paragraph" w:styleId="List3">
    <w:name w:val="List 3"/>
    <w:basedOn w:val="Normal"/>
    <w:link w:val="List3Char"/>
    <w:unhideWhenUsed/>
    <w:qFormat/>
    <w:rsid w:val="00BE196B"/>
    <w:pPr>
      <w:spacing w:before="120" w:after="120"/>
      <w:ind w:left="720"/>
    </w:pPr>
    <w:rPr>
      <w:sz w:val="20"/>
    </w:rPr>
  </w:style>
  <w:style w:type="paragraph" w:styleId="List4">
    <w:name w:val="List 4"/>
    <w:basedOn w:val="Normal"/>
    <w:rsid w:val="00195EAD"/>
    <w:pPr>
      <w:spacing w:before="120" w:after="120"/>
      <w:ind w:left="1080"/>
    </w:pPr>
    <w:rPr>
      <w:sz w:val="20"/>
    </w:rPr>
  </w:style>
  <w:style w:type="paragraph" w:customStyle="1" w:styleId="List1">
    <w:name w:val="List 1"/>
    <w:basedOn w:val="List3"/>
    <w:link w:val="List1Char"/>
    <w:qFormat/>
    <w:rsid w:val="00BE196B"/>
    <w:pPr>
      <w:ind w:left="0"/>
    </w:pPr>
  </w:style>
  <w:style w:type="character" w:customStyle="1" w:styleId="List3Char">
    <w:name w:val="List 3 Char"/>
    <w:basedOn w:val="DefaultParagraphFont"/>
    <w:link w:val="List3"/>
    <w:rsid w:val="00BE196B"/>
    <w:rPr>
      <w:rFonts w:ascii="Arial" w:hAnsi="Arial" w:cs="Arial"/>
    </w:rPr>
  </w:style>
  <w:style w:type="character" w:customStyle="1" w:styleId="List1Char">
    <w:name w:val="List 1 Char"/>
    <w:basedOn w:val="List3Char"/>
    <w:link w:val="List1"/>
    <w:rsid w:val="00BE196B"/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9D5108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D5108"/>
    <w:pPr>
      <w:ind w:left="220"/>
    </w:pPr>
    <w:rPr>
      <w:b/>
    </w:rPr>
  </w:style>
  <w:style w:type="paragraph" w:styleId="List5">
    <w:name w:val="List 5"/>
    <w:basedOn w:val="Normal"/>
    <w:rsid w:val="00E87A9E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D5108"/>
    <w:pPr>
      <w:keepNext/>
      <w:keepLines/>
      <w:widowControl/>
      <w:snapToGrid/>
      <w:spacing w:before="240" w:after="0" w:line="259" w:lineRule="auto"/>
      <w:outlineLvl w:val="9"/>
    </w:pPr>
    <w:rPr>
      <w:rFonts w:cstheme="majorBidi"/>
      <w:b w:val="0"/>
      <w:bCs w:val="0"/>
      <w:color w:val="000000" w:themeColor="text1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D5108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30050"/>
    <w:pPr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content/part-16-types-contrac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content/part-12-acquisition-commercial-item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KM\Marian%206-17-19%20outdated-back-up%20only\SOFARS%20final%20complete\completed%20styles\SOFAR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EC160-7FFF-4667-BC65-CACAF0765D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E65BDF-BE5F-455A-88DF-5EFA1A4B4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1B2E8A-7E81-40BA-AA5E-BBF4D608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SOFARS styles</Template>
  <TotalTime>1</TotalTime>
  <Pages>2</Pages>
  <Words>317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5611 - DESCRIBING AGENCY NEEDS</vt:lpstr>
    </vt:vector>
  </TitlesOfParts>
  <Company>Technautics, Inc.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5612 - ACQUISITION OF COMMERCIAL ITEMS</dc:title>
  <dc:creator>Duchesne, Marian B NH-IIICIV USSOCOM SOCOM (USA)</dc:creator>
  <cp:lastModifiedBy>Duchesne, Marian B CIV USSOCOM SOCOM (USA)</cp:lastModifiedBy>
  <cp:revision>3</cp:revision>
  <cp:lastPrinted>2010-02-11T14:15:00Z</cp:lastPrinted>
  <dcterms:created xsi:type="dcterms:W3CDTF">2021-06-23T16:30:00Z</dcterms:created>
  <dcterms:modified xsi:type="dcterms:W3CDTF">2021-06-23T18:10:00Z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0x0101000ACE347D7E474A49A5703FA3028C9C2B</vt:lpwstr>
  </property>
</Properties>
</file>