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5C4ED" w14:textId="77777777" w:rsidR="009A2DAF" w:rsidRPr="001308C2" w:rsidRDefault="009A2DAF" w:rsidP="001308C2">
      <w:pPr>
        <w:rPr>
          <w:b/>
          <w:bCs/>
          <w:sz w:val="32"/>
          <w:szCs w:val="32"/>
        </w:rPr>
      </w:pPr>
      <w:bookmarkStart w:id="0" w:name="BM5617"/>
      <w:bookmarkEnd w:id="0"/>
      <w:r w:rsidRPr="001308C2">
        <w:rPr>
          <w:b/>
          <w:bCs/>
          <w:sz w:val="32"/>
          <w:szCs w:val="32"/>
        </w:rPr>
        <w:t xml:space="preserve">SOFARS PART 5617 - SPECIAL CONTRACTING METHODS </w:t>
      </w:r>
    </w:p>
    <w:p w14:paraId="1ED0BB60" w14:textId="20F6A409" w:rsidR="009A2DAF" w:rsidRPr="001308C2" w:rsidRDefault="009A2DAF" w:rsidP="001308C2">
      <w:pPr>
        <w:pStyle w:val="NormalWeb"/>
        <w:spacing w:beforeAutospacing="0" w:afterAutospacing="0"/>
        <w:rPr>
          <w:rFonts w:ascii="Arial" w:hAnsi="Arial" w:cs="Arial"/>
          <w:b/>
          <w:i/>
          <w:iCs/>
          <w:sz w:val="20"/>
        </w:rPr>
      </w:pPr>
      <w:r w:rsidRPr="001308C2">
        <w:rPr>
          <w:rFonts w:ascii="Arial" w:hAnsi="Arial" w:cs="Arial"/>
          <w:i/>
          <w:iCs/>
          <w:sz w:val="20"/>
        </w:rPr>
        <w:t>(Revised Ju</w:t>
      </w:r>
      <w:r w:rsidR="00C5665C">
        <w:rPr>
          <w:rFonts w:ascii="Arial" w:hAnsi="Arial" w:cs="Arial"/>
          <w:i/>
          <w:iCs/>
          <w:sz w:val="20"/>
        </w:rPr>
        <w:t>ne 2021</w:t>
      </w:r>
      <w:r w:rsidRPr="001308C2">
        <w:rPr>
          <w:rFonts w:ascii="Arial" w:hAnsi="Arial" w:cs="Arial"/>
          <w:i/>
          <w:iCs/>
          <w:sz w:val="20"/>
        </w:rPr>
        <w:t>)</w:t>
      </w:r>
    </w:p>
    <w:p w14:paraId="1532B667" w14:textId="53AE58CA" w:rsidR="009A2DAF" w:rsidRDefault="009A2DAF" w:rsidP="001308C2"/>
    <w:sdt>
      <w:sdtPr>
        <w:id w:val="2043472260"/>
        <w:docPartObj>
          <w:docPartGallery w:val="Table of Contents"/>
          <w:docPartUnique/>
        </w:docPartObj>
      </w:sdtPr>
      <w:sdtEndPr>
        <w:rPr>
          <w:rFonts w:eastAsia="Times New Roman" w:cs="Times New Roman"/>
          <w:bCs/>
          <w:noProof/>
          <w:color w:val="auto"/>
          <w:sz w:val="20"/>
          <w:szCs w:val="20"/>
        </w:rPr>
      </w:sdtEndPr>
      <w:sdtContent>
        <w:p w14:paraId="49EDBD7E" w14:textId="6B08090C" w:rsidR="00B163CA" w:rsidRDefault="00B163CA" w:rsidP="00B163CA">
          <w:pPr>
            <w:pStyle w:val="TOCHeading"/>
            <w:spacing w:after="120"/>
          </w:pPr>
          <w:r>
            <w:t>Table of Contents</w:t>
          </w:r>
        </w:p>
        <w:p w14:paraId="639A3E12" w14:textId="70E98044" w:rsidR="00B163CA" w:rsidRPr="00B163CA" w:rsidRDefault="00B163CA">
          <w:pPr>
            <w:pStyle w:val="TOC1"/>
            <w:tabs>
              <w:tab w:val="right" w:leader="dot" w:pos="9350"/>
            </w:tabs>
            <w:rPr>
              <w:rFonts w:asciiTheme="minorHAnsi" w:eastAsiaTheme="minorEastAsia" w:hAnsiTheme="minorHAnsi" w:cstheme="minorBidi"/>
              <w:b w:val="0"/>
              <w:noProof/>
              <w:szCs w:val="22"/>
            </w:rPr>
          </w:pPr>
          <w:r w:rsidRPr="00B163CA">
            <w:rPr>
              <w:szCs w:val="22"/>
            </w:rPr>
            <w:fldChar w:fldCharType="begin"/>
          </w:r>
          <w:r w:rsidRPr="00B163CA">
            <w:rPr>
              <w:szCs w:val="22"/>
            </w:rPr>
            <w:instrText xml:space="preserve"> TOC \o "1-4" \n \h \z \u </w:instrText>
          </w:r>
          <w:r w:rsidRPr="00B163CA">
            <w:rPr>
              <w:szCs w:val="22"/>
            </w:rPr>
            <w:fldChar w:fldCharType="separate"/>
          </w:r>
          <w:hyperlink w:anchor="_Toc75354272" w:history="1">
            <w:r w:rsidRPr="00B163CA">
              <w:rPr>
                <w:rStyle w:val="Hyperlink"/>
                <w:noProof/>
                <w:szCs w:val="22"/>
              </w:rPr>
              <w:t>SOFARS PART 5617 SPECIAL CONTRACTING METHODS</w:t>
            </w:r>
          </w:hyperlink>
        </w:p>
        <w:p w14:paraId="2F4C18D3" w14:textId="6DE50DC9" w:rsidR="00B163CA" w:rsidRPr="00B163CA" w:rsidRDefault="00B163CA">
          <w:pPr>
            <w:pStyle w:val="TOC2"/>
            <w:tabs>
              <w:tab w:val="right" w:leader="dot" w:pos="9350"/>
            </w:tabs>
            <w:rPr>
              <w:rFonts w:asciiTheme="minorHAnsi" w:eastAsiaTheme="minorEastAsia" w:hAnsiTheme="minorHAnsi" w:cstheme="minorBidi"/>
              <w:b w:val="0"/>
              <w:noProof/>
              <w:szCs w:val="22"/>
            </w:rPr>
          </w:pPr>
          <w:hyperlink w:anchor="_Toc75354273" w:history="1">
            <w:r w:rsidRPr="00B163CA">
              <w:rPr>
                <w:rStyle w:val="Hyperlink"/>
                <w:rFonts w:cs="Arial"/>
                <w:noProof/>
                <w:szCs w:val="22"/>
              </w:rPr>
              <w:t>SUBPART 5617.2 - OPTIONS (DCG)</w:t>
            </w:r>
          </w:hyperlink>
        </w:p>
        <w:p w14:paraId="15612541" w14:textId="74938E01" w:rsidR="00B163CA" w:rsidRPr="00B163CA" w:rsidRDefault="00B163CA">
          <w:pPr>
            <w:pStyle w:val="TOC3"/>
            <w:tabs>
              <w:tab w:val="right" w:leader="dot" w:pos="9350"/>
            </w:tabs>
            <w:rPr>
              <w:rFonts w:asciiTheme="minorHAnsi" w:eastAsiaTheme="minorEastAsia" w:hAnsiTheme="minorHAnsi" w:cstheme="minorBidi"/>
              <w:noProof/>
              <w:sz w:val="22"/>
              <w:szCs w:val="22"/>
            </w:rPr>
          </w:pPr>
          <w:hyperlink w:anchor="_Toc75354274" w:history="1">
            <w:r w:rsidRPr="00B163CA">
              <w:rPr>
                <w:rStyle w:val="Hyperlink"/>
                <w:noProof/>
                <w:sz w:val="22"/>
                <w:szCs w:val="22"/>
              </w:rPr>
              <w:t>5617.202 Use of Options.</w:t>
            </w:r>
          </w:hyperlink>
        </w:p>
        <w:p w14:paraId="4ADEF6D8" w14:textId="497218B3" w:rsidR="00B163CA" w:rsidRPr="00B163CA" w:rsidRDefault="00B163CA">
          <w:pPr>
            <w:pStyle w:val="TOC3"/>
            <w:tabs>
              <w:tab w:val="right" w:leader="dot" w:pos="9350"/>
            </w:tabs>
            <w:rPr>
              <w:rFonts w:asciiTheme="minorHAnsi" w:eastAsiaTheme="minorEastAsia" w:hAnsiTheme="minorHAnsi" w:cstheme="minorBidi"/>
              <w:noProof/>
              <w:sz w:val="22"/>
              <w:szCs w:val="22"/>
            </w:rPr>
          </w:pPr>
          <w:hyperlink w:anchor="_Toc75354275" w:history="1">
            <w:r w:rsidRPr="00B163CA">
              <w:rPr>
                <w:rStyle w:val="Hyperlink"/>
                <w:noProof/>
                <w:sz w:val="22"/>
                <w:szCs w:val="22"/>
              </w:rPr>
              <w:t>5617.204 Contracts.</w:t>
            </w:r>
          </w:hyperlink>
        </w:p>
        <w:p w14:paraId="66B09A34" w14:textId="2AFF03BA" w:rsidR="00B163CA" w:rsidRPr="00B163CA" w:rsidRDefault="00B163CA">
          <w:pPr>
            <w:pStyle w:val="TOC3"/>
            <w:tabs>
              <w:tab w:val="right" w:leader="dot" w:pos="9350"/>
            </w:tabs>
            <w:rPr>
              <w:rFonts w:asciiTheme="minorHAnsi" w:eastAsiaTheme="minorEastAsia" w:hAnsiTheme="minorHAnsi" w:cstheme="minorBidi"/>
              <w:noProof/>
              <w:sz w:val="22"/>
              <w:szCs w:val="22"/>
            </w:rPr>
          </w:pPr>
          <w:hyperlink w:anchor="_Toc75354276" w:history="1">
            <w:r w:rsidRPr="00B163CA">
              <w:rPr>
                <w:rStyle w:val="Hyperlink"/>
                <w:noProof/>
                <w:sz w:val="22"/>
                <w:szCs w:val="22"/>
              </w:rPr>
              <w:t>5617.207 Exercise of Options</w:t>
            </w:r>
          </w:hyperlink>
        </w:p>
        <w:p w14:paraId="20189FA6" w14:textId="45FC9E47" w:rsidR="00B163CA" w:rsidRPr="00B163CA" w:rsidRDefault="00B163CA">
          <w:pPr>
            <w:pStyle w:val="TOC4"/>
            <w:tabs>
              <w:tab w:val="right" w:leader="dot" w:pos="9350"/>
            </w:tabs>
            <w:rPr>
              <w:rFonts w:asciiTheme="minorHAnsi" w:eastAsiaTheme="minorEastAsia" w:hAnsiTheme="minorHAnsi" w:cstheme="minorBidi"/>
              <w:noProof/>
              <w:sz w:val="22"/>
              <w:szCs w:val="22"/>
            </w:rPr>
          </w:pPr>
          <w:hyperlink w:anchor="_Toc75354277" w:history="1">
            <w:r w:rsidRPr="00B163CA">
              <w:rPr>
                <w:rStyle w:val="Hyperlink"/>
                <w:rFonts w:cs="Arial"/>
                <w:noProof/>
                <w:sz w:val="22"/>
                <w:szCs w:val="22"/>
              </w:rPr>
              <w:t>5617.207-90 Documenting the Contracting Officer Determination. (DCG)</w:t>
            </w:r>
          </w:hyperlink>
        </w:p>
        <w:p w14:paraId="6BB16637" w14:textId="44F1B2C2" w:rsidR="00B163CA" w:rsidRPr="00B163CA" w:rsidRDefault="00B163CA">
          <w:pPr>
            <w:pStyle w:val="TOC2"/>
            <w:tabs>
              <w:tab w:val="right" w:leader="dot" w:pos="9350"/>
            </w:tabs>
            <w:rPr>
              <w:rFonts w:asciiTheme="minorHAnsi" w:eastAsiaTheme="minorEastAsia" w:hAnsiTheme="minorHAnsi" w:cstheme="minorBidi"/>
              <w:b w:val="0"/>
              <w:noProof/>
              <w:szCs w:val="22"/>
            </w:rPr>
          </w:pPr>
          <w:hyperlink w:anchor="_Toc75354278" w:history="1">
            <w:r w:rsidRPr="00B163CA">
              <w:rPr>
                <w:rStyle w:val="Hyperlink"/>
                <w:noProof/>
                <w:szCs w:val="22"/>
              </w:rPr>
              <w:t>SUBPART 5617.5 INTERAGENCY ACQUISITIONS</w:t>
            </w:r>
          </w:hyperlink>
        </w:p>
        <w:p w14:paraId="0FAB2DB1" w14:textId="10AA68B3" w:rsidR="00B163CA" w:rsidRPr="00B163CA" w:rsidRDefault="00B163CA">
          <w:pPr>
            <w:pStyle w:val="TOC4"/>
            <w:tabs>
              <w:tab w:val="right" w:leader="dot" w:pos="9350"/>
            </w:tabs>
            <w:rPr>
              <w:rFonts w:asciiTheme="minorHAnsi" w:eastAsiaTheme="minorEastAsia" w:hAnsiTheme="minorHAnsi" w:cstheme="minorBidi"/>
              <w:noProof/>
              <w:sz w:val="22"/>
              <w:szCs w:val="22"/>
            </w:rPr>
          </w:pPr>
          <w:hyperlink w:anchor="_Toc75354279" w:history="1">
            <w:r w:rsidRPr="00B163CA">
              <w:rPr>
                <w:rStyle w:val="Hyperlink"/>
                <w:noProof/>
                <w:sz w:val="22"/>
                <w:szCs w:val="22"/>
              </w:rPr>
              <w:t>5617.502-1 General.</w:t>
            </w:r>
          </w:hyperlink>
        </w:p>
        <w:p w14:paraId="35048D62" w14:textId="52892152" w:rsidR="00B163CA" w:rsidRPr="00B163CA" w:rsidRDefault="00B163CA">
          <w:pPr>
            <w:pStyle w:val="TOC2"/>
            <w:tabs>
              <w:tab w:val="right" w:leader="dot" w:pos="9350"/>
            </w:tabs>
            <w:rPr>
              <w:rFonts w:asciiTheme="minorHAnsi" w:eastAsiaTheme="minorEastAsia" w:hAnsiTheme="minorHAnsi" w:cstheme="minorBidi"/>
              <w:b w:val="0"/>
              <w:noProof/>
              <w:szCs w:val="22"/>
            </w:rPr>
          </w:pPr>
          <w:hyperlink w:anchor="_Toc75354280" w:history="1">
            <w:r w:rsidRPr="00B163CA">
              <w:rPr>
                <w:rStyle w:val="Hyperlink"/>
                <w:noProof/>
                <w:szCs w:val="22"/>
              </w:rPr>
              <w:t>5617.502 Procedures.</w:t>
            </w:r>
          </w:hyperlink>
        </w:p>
        <w:p w14:paraId="0AB0B748" w14:textId="584CD47D" w:rsidR="00B163CA" w:rsidRPr="00B163CA" w:rsidRDefault="00B163CA">
          <w:pPr>
            <w:pStyle w:val="TOC4"/>
            <w:tabs>
              <w:tab w:val="right" w:leader="dot" w:pos="9350"/>
            </w:tabs>
            <w:rPr>
              <w:rFonts w:asciiTheme="minorHAnsi" w:eastAsiaTheme="minorEastAsia" w:hAnsiTheme="minorHAnsi" w:cstheme="minorBidi"/>
              <w:noProof/>
              <w:sz w:val="22"/>
              <w:szCs w:val="22"/>
            </w:rPr>
          </w:pPr>
          <w:hyperlink w:anchor="_Toc75354281" w:history="1">
            <w:r w:rsidRPr="00B163CA">
              <w:rPr>
                <w:rStyle w:val="Hyperlink"/>
                <w:rFonts w:cs="Arial"/>
                <w:noProof/>
                <w:sz w:val="22"/>
                <w:szCs w:val="22"/>
              </w:rPr>
              <w:t>5617.502-90 Economy Act Determinations. (DCG)</w:t>
            </w:r>
          </w:hyperlink>
        </w:p>
        <w:p w14:paraId="3873EDFE" w14:textId="5E110318" w:rsidR="00B163CA" w:rsidRPr="00B163CA" w:rsidRDefault="00B163CA">
          <w:pPr>
            <w:pStyle w:val="TOC2"/>
            <w:tabs>
              <w:tab w:val="right" w:leader="dot" w:pos="9350"/>
            </w:tabs>
            <w:rPr>
              <w:rFonts w:asciiTheme="minorHAnsi" w:eastAsiaTheme="minorEastAsia" w:hAnsiTheme="minorHAnsi" w:cstheme="minorBidi"/>
              <w:b w:val="0"/>
              <w:noProof/>
              <w:szCs w:val="22"/>
            </w:rPr>
          </w:pPr>
          <w:hyperlink w:anchor="_Toc75354282" w:history="1">
            <w:r w:rsidRPr="00B163CA">
              <w:rPr>
                <w:rStyle w:val="Hyperlink"/>
                <w:noProof/>
                <w:szCs w:val="22"/>
              </w:rPr>
              <w:t>SUBPART 5617.7 INTERAGENCY ACQUISITIONS:  ACQUISITIONS BY NONDEFENSE AGENCIES ON BEHALF OF THE DEPARTMENT OF DEFENSE</w:t>
            </w:r>
          </w:hyperlink>
        </w:p>
        <w:p w14:paraId="527E02E3" w14:textId="0A3DB1BE" w:rsidR="00B163CA" w:rsidRPr="00B163CA" w:rsidRDefault="00B163CA">
          <w:pPr>
            <w:pStyle w:val="TOC3"/>
            <w:tabs>
              <w:tab w:val="right" w:leader="dot" w:pos="9350"/>
            </w:tabs>
            <w:rPr>
              <w:rFonts w:asciiTheme="minorHAnsi" w:eastAsiaTheme="minorEastAsia" w:hAnsiTheme="minorHAnsi" w:cstheme="minorBidi"/>
              <w:noProof/>
              <w:sz w:val="22"/>
              <w:szCs w:val="22"/>
            </w:rPr>
          </w:pPr>
          <w:hyperlink w:anchor="_Toc75354283" w:history="1">
            <w:r w:rsidRPr="00B163CA">
              <w:rPr>
                <w:rStyle w:val="Hyperlink"/>
                <w:noProof/>
                <w:sz w:val="22"/>
                <w:szCs w:val="22"/>
              </w:rPr>
              <w:t>5617.703 Policy</w:t>
            </w:r>
          </w:hyperlink>
        </w:p>
        <w:p w14:paraId="4741A198" w14:textId="3C7A60FF" w:rsidR="00B163CA" w:rsidRPr="00B163CA" w:rsidRDefault="00B163CA">
          <w:pPr>
            <w:pStyle w:val="TOC4"/>
            <w:tabs>
              <w:tab w:val="right" w:leader="dot" w:pos="9350"/>
            </w:tabs>
            <w:rPr>
              <w:rFonts w:asciiTheme="minorHAnsi" w:eastAsiaTheme="minorEastAsia" w:hAnsiTheme="minorHAnsi" w:cstheme="minorBidi"/>
              <w:noProof/>
              <w:sz w:val="22"/>
              <w:szCs w:val="22"/>
            </w:rPr>
          </w:pPr>
          <w:hyperlink w:anchor="_Toc75354284" w:history="1">
            <w:r w:rsidRPr="00B163CA">
              <w:rPr>
                <w:rStyle w:val="Hyperlink"/>
                <w:noProof/>
                <w:sz w:val="22"/>
                <w:szCs w:val="22"/>
              </w:rPr>
              <w:t>5617.703-91 Use of Non-DoD Contracts and Agencies</w:t>
            </w:r>
          </w:hyperlink>
        </w:p>
        <w:p w14:paraId="3BE129F9" w14:textId="075A3A7A" w:rsidR="00B163CA" w:rsidRPr="00B163CA" w:rsidRDefault="00B163CA">
          <w:pPr>
            <w:pStyle w:val="TOC2"/>
            <w:tabs>
              <w:tab w:val="right" w:leader="dot" w:pos="9350"/>
            </w:tabs>
            <w:rPr>
              <w:rFonts w:asciiTheme="minorHAnsi" w:eastAsiaTheme="minorEastAsia" w:hAnsiTheme="minorHAnsi" w:cstheme="minorBidi"/>
              <w:b w:val="0"/>
              <w:noProof/>
              <w:szCs w:val="22"/>
            </w:rPr>
          </w:pPr>
          <w:hyperlink w:anchor="_Toc75354285" w:history="1">
            <w:r w:rsidRPr="00B163CA">
              <w:rPr>
                <w:rStyle w:val="Hyperlink"/>
                <w:rFonts w:cs="Arial"/>
                <w:noProof/>
                <w:szCs w:val="22"/>
              </w:rPr>
              <w:t>SUBPART 5617.74 - UNDEFINITIZED CONTRACT ACTIONS (DCG)</w:t>
            </w:r>
          </w:hyperlink>
        </w:p>
        <w:p w14:paraId="4814028F" w14:textId="37E7D651" w:rsidR="00B163CA" w:rsidRPr="00B163CA" w:rsidRDefault="00B163CA">
          <w:pPr>
            <w:pStyle w:val="TOC3"/>
            <w:tabs>
              <w:tab w:val="right" w:leader="dot" w:pos="9350"/>
            </w:tabs>
            <w:rPr>
              <w:rFonts w:asciiTheme="minorHAnsi" w:eastAsiaTheme="minorEastAsia" w:hAnsiTheme="minorHAnsi" w:cstheme="minorBidi"/>
              <w:noProof/>
              <w:sz w:val="22"/>
              <w:szCs w:val="22"/>
            </w:rPr>
          </w:pPr>
          <w:hyperlink w:anchor="_Toc75354286" w:history="1">
            <w:r w:rsidRPr="00B163CA">
              <w:rPr>
                <w:rStyle w:val="Hyperlink"/>
                <w:noProof/>
                <w:sz w:val="22"/>
                <w:szCs w:val="22"/>
              </w:rPr>
              <w:t>5617.7404 Limitations.</w:t>
            </w:r>
          </w:hyperlink>
        </w:p>
        <w:p w14:paraId="42B2FE44" w14:textId="5E8A8AB9" w:rsidR="00B163CA" w:rsidRPr="00B163CA" w:rsidRDefault="00B163CA">
          <w:pPr>
            <w:pStyle w:val="TOC4"/>
            <w:tabs>
              <w:tab w:val="right" w:leader="dot" w:pos="9350"/>
            </w:tabs>
            <w:rPr>
              <w:rFonts w:asciiTheme="minorHAnsi" w:eastAsiaTheme="minorEastAsia" w:hAnsiTheme="minorHAnsi" w:cstheme="minorBidi"/>
              <w:noProof/>
              <w:sz w:val="22"/>
              <w:szCs w:val="22"/>
            </w:rPr>
          </w:pPr>
          <w:hyperlink w:anchor="_Toc75354287" w:history="1">
            <w:r w:rsidRPr="00B163CA">
              <w:rPr>
                <w:rStyle w:val="Hyperlink"/>
                <w:noProof/>
                <w:sz w:val="22"/>
                <w:szCs w:val="22"/>
              </w:rPr>
              <w:t>5617.7404-1 Authorization.</w:t>
            </w:r>
          </w:hyperlink>
        </w:p>
        <w:p w14:paraId="67D15A22" w14:textId="77859C2F" w:rsidR="00B163CA" w:rsidRPr="00B163CA" w:rsidRDefault="00B163CA">
          <w:pPr>
            <w:pStyle w:val="TOC4"/>
            <w:tabs>
              <w:tab w:val="right" w:leader="dot" w:pos="9350"/>
            </w:tabs>
            <w:rPr>
              <w:rFonts w:asciiTheme="minorHAnsi" w:eastAsiaTheme="minorEastAsia" w:hAnsiTheme="minorHAnsi" w:cstheme="minorBidi"/>
              <w:noProof/>
              <w:sz w:val="22"/>
              <w:szCs w:val="22"/>
            </w:rPr>
          </w:pPr>
          <w:hyperlink w:anchor="_Toc75354288" w:history="1">
            <w:r w:rsidRPr="00B163CA">
              <w:rPr>
                <w:rStyle w:val="Hyperlink"/>
                <w:noProof/>
                <w:sz w:val="22"/>
                <w:szCs w:val="22"/>
              </w:rPr>
              <w:t>5617.7404-3 Definitization Schedule.</w:t>
            </w:r>
          </w:hyperlink>
        </w:p>
        <w:p w14:paraId="408B5DB8" w14:textId="657BA59D" w:rsidR="00B163CA" w:rsidRDefault="00B163CA">
          <w:r w:rsidRPr="00B163CA">
            <w:rPr>
              <w:sz w:val="22"/>
              <w:szCs w:val="22"/>
            </w:rPr>
            <w:fldChar w:fldCharType="end"/>
          </w:r>
        </w:p>
      </w:sdtContent>
    </w:sdt>
    <w:p w14:paraId="6291327E" w14:textId="77777777" w:rsidR="00B163CA" w:rsidRDefault="00B163CA" w:rsidP="001308C2"/>
    <w:p w14:paraId="558C405E" w14:textId="77777777" w:rsidR="009A2DAF" w:rsidRDefault="009A2DAF" w:rsidP="001308C2">
      <w:pPr>
        <w:pStyle w:val="Heading1"/>
      </w:pPr>
      <w:bookmarkStart w:id="1" w:name="_Toc75354272"/>
      <w:r>
        <w:t>SOFARS PART 5617</w:t>
      </w:r>
      <w:r>
        <w:br/>
        <w:t>SPECIAL CONTRACTING METHODS</w:t>
      </w:r>
      <w:bookmarkEnd w:id="1"/>
      <w:r>
        <w:t xml:space="preserve"> </w:t>
      </w:r>
    </w:p>
    <w:p w14:paraId="008E43C6" w14:textId="77777777" w:rsidR="009A2DAF" w:rsidRPr="001308C2" w:rsidRDefault="009A2DAF" w:rsidP="001308C2">
      <w:r w:rsidRPr="001308C2">
        <w:t> </w:t>
      </w:r>
    </w:p>
    <w:p w14:paraId="6CCAAC70" w14:textId="50D761FD" w:rsidR="009A2DAF" w:rsidRPr="001308C2" w:rsidRDefault="009A2DAF" w:rsidP="001308C2">
      <w:pPr>
        <w:pStyle w:val="Heading2"/>
        <w:rPr>
          <w:rFonts w:cs="Arial"/>
        </w:rPr>
      </w:pPr>
      <w:bookmarkStart w:id="2" w:name="_Toc75354273"/>
      <w:r w:rsidRPr="001308C2">
        <w:rPr>
          <w:rFonts w:cs="Arial"/>
        </w:rPr>
        <w:t xml:space="preserve">SUBPART 5617.2 - OPTIONS </w:t>
      </w:r>
      <w:bookmarkEnd w:id="2"/>
    </w:p>
    <w:p w14:paraId="364636A8" w14:textId="77777777" w:rsidR="009A2DAF" w:rsidRPr="001308C2" w:rsidRDefault="009A2DAF" w:rsidP="001308C2">
      <w:pPr>
        <w:pStyle w:val="Heading3"/>
      </w:pPr>
      <w:bookmarkStart w:id="3" w:name="BM202"/>
      <w:bookmarkStart w:id="4" w:name="BM5617_202"/>
      <w:bookmarkStart w:id="5" w:name="_Toc75354274"/>
      <w:bookmarkEnd w:id="3"/>
      <w:bookmarkEnd w:id="4"/>
      <w:r w:rsidRPr="001308C2">
        <w:t>5617.202 Use of Options.</w:t>
      </w:r>
      <w:bookmarkEnd w:id="5"/>
      <w:r w:rsidRPr="001308C2">
        <w:t xml:space="preserve"> </w:t>
      </w:r>
    </w:p>
    <w:p w14:paraId="3EAB94B0" w14:textId="77777777" w:rsidR="009A2DAF" w:rsidRPr="001308C2" w:rsidRDefault="009A2DAF" w:rsidP="001308C2">
      <w:r w:rsidRPr="001308C2">
        <w:t xml:space="preserve">The Contracting Officer shall not include options on contracts awarded under the authority cited in </w:t>
      </w:r>
      <w:hyperlink r:id="rId11" w:anchor="i1119771" w:history="1">
        <w:r w:rsidRPr="001308C2">
          <w:rPr>
            <w:rStyle w:val="Hyperlink"/>
            <w:rFonts w:cs="Arial"/>
          </w:rPr>
          <w:t>FAR 6.302-2</w:t>
        </w:r>
      </w:hyperlink>
      <w:r w:rsidRPr="001308C2">
        <w:t>, Unusual and Compelling Urgency.</w:t>
      </w:r>
    </w:p>
    <w:p w14:paraId="5773EC9E" w14:textId="77777777" w:rsidR="009A2DAF" w:rsidRPr="001308C2" w:rsidRDefault="009A2DAF" w:rsidP="001308C2">
      <w:pPr>
        <w:pStyle w:val="Heading3"/>
      </w:pPr>
      <w:bookmarkStart w:id="6" w:name="BM204"/>
      <w:bookmarkStart w:id="7" w:name="_Toc75354275"/>
      <w:bookmarkEnd w:id="6"/>
      <w:r w:rsidRPr="001308C2">
        <w:t>5617.204 Contracts.</w:t>
      </w:r>
      <w:bookmarkEnd w:id="7"/>
    </w:p>
    <w:p w14:paraId="15494A95" w14:textId="77777777" w:rsidR="009A2DAF" w:rsidRPr="001308C2" w:rsidRDefault="009A2DAF" w:rsidP="001308C2">
      <w:pPr>
        <w:pStyle w:val="List1"/>
      </w:pPr>
      <w:r w:rsidRPr="001308C2">
        <w:t>(e)</w:t>
      </w:r>
    </w:p>
    <w:p w14:paraId="37BF0029" w14:textId="77777777" w:rsidR="009A2DAF" w:rsidRPr="001308C2" w:rsidRDefault="009A2DAF" w:rsidP="001308C2">
      <w:pPr>
        <w:pStyle w:val="List3"/>
      </w:pPr>
      <w:r w:rsidRPr="001308C2">
        <w:t>(</w:t>
      </w:r>
      <w:proofErr w:type="spellStart"/>
      <w:r w:rsidRPr="001308C2">
        <w:t>i</w:t>
      </w:r>
      <w:proofErr w:type="spellEnd"/>
      <w:r w:rsidRPr="001308C2">
        <w:t xml:space="preserve">) The Chief of the Contracting Office making an award in accordance with </w:t>
      </w:r>
      <w:hyperlink r:id="rId12" w:anchor="id1617MD00ZSW" w:history="1">
        <w:r w:rsidRPr="001308C2">
          <w:rPr>
            <w:rStyle w:val="Hyperlink"/>
            <w:rFonts w:cs="Arial"/>
          </w:rPr>
          <w:t>FAR 17.204</w:t>
        </w:r>
      </w:hyperlink>
      <w:r w:rsidRPr="001308C2">
        <w:t xml:space="preserve"> may approve total contract periods in excess of 5 years on a case-by-case basis, unless otherwise prohibited by statute or regulation. This authority shall not be re-delegated.</w:t>
      </w:r>
    </w:p>
    <w:p w14:paraId="3575EA0E" w14:textId="77777777" w:rsidR="009A2DAF" w:rsidRPr="001308C2" w:rsidRDefault="009A2DAF" w:rsidP="001308C2">
      <w:pPr>
        <w:pStyle w:val="List4"/>
      </w:pPr>
      <w:r w:rsidRPr="001308C2">
        <w:lastRenderedPageBreak/>
        <w:t>(A)  All approvals shall be made prior to issuing the solicitation and shall be included in the contract file.</w:t>
      </w:r>
    </w:p>
    <w:p w14:paraId="07A0E7AB" w14:textId="77777777" w:rsidR="009A2DAF" w:rsidRPr="001308C2" w:rsidRDefault="009A2DAF" w:rsidP="001308C2">
      <w:pPr>
        <w:pStyle w:val="List4"/>
      </w:pPr>
      <w:r w:rsidRPr="001308C2">
        <w:t xml:space="preserve">(B) The documentation shall specify the reasons a period longer than 5 years is needed, what cost or price and performance risks are associated with the longer period, and how the risks will be mitigated. </w:t>
      </w:r>
    </w:p>
    <w:p w14:paraId="42E430A9" w14:textId="77777777" w:rsidR="009A2DAF" w:rsidRPr="001308C2" w:rsidRDefault="009A2DAF" w:rsidP="001308C2">
      <w:pPr>
        <w:pStyle w:val="Heading3"/>
      </w:pPr>
      <w:bookmarkStart w:id="8" w:name="BM207_90"/>
      <w:bookmarkStart w:id="9" w:name="_Toc75354276"/>
      <w:bookmarkEnd w:id="8"/>
      <w:r w:rsidRPr="001308C2">
        <w:t>5617.207 Exercise of Options</w:t>
      </w:r>
      <w:bookmarkEnd w:id="9"/>
    </w:p>
    <w:p w14:paraId="472B9D4F" w14:textId="71D70491" w:rsidR="009A2DAF" w:rsidRPr="001308C2" w:rsidRDefault="009A2DAF" w:rsidP="001308C2">
      <w:pPr>
        <w:pStyle w:val="Heading4"/>
        <w:rPr>
          <w:rFonts w:cs="Arial"/>
        </w:rPr>
      </w:pPr>
      <w:bookmarkStart w:id="10" w:name="_Toc75354277"/>
      <w:r w:rsidRPr="001308C2">
        <w:rPr>
          <w:rFonts w:cs="Arial"/>
        </w:rPr>
        <w:t xml:space="preserve">5617.207-90 Documenting the Contracting Officer Determination. </w:t>
      </w:r>
      <w:bookmarkEnd w:id="10"/>
    </w:p>
    <w:p w14:paraId="6F3EB856" w14:textId="77777777" w:rsidR="001308C2" w:rsidRPr="001308C2" w:rsidRDefault="009A2DAF" w:rsidP="001308C2">
      <w:r w:rsidRPr="001308C2">
        <w:rPr>
          <w:i/>
          <w:iCs/>
        </w:rPr>
        <w:t>(Revised June 2008)</w:t>
      </w:r>
    </w:p>
    <w:p w14:paraId="5432B6DF" w14:textId="77777777" w:rsidR="009A2DAF" w:rsidRPr="001308C2" w:rsidRDefault="009A2DAF" w:rsidP="001308C2">
      <w:pPr>
        <w:pStyle w:val="List1"/>
      </w:pPr>
      <w:r w:rsidRPr="001308C2">
        <w:t>(a)  The determination shall be made in writing and approved by the Contracting Officer prior to issuing a modification to the contractor.</w:t>
      </w:r>
    </w:p>
    <w:p w14:paraId="389E7E20" w14:textId="77777777" w:rsidR="009A2DAF" w:rsidRPr="001308C2" w:rsidRDefault="009A2DAF" w:rsidP="001308C2">
      <w:pPr>
        <w:pStyle w:val="List1"/>
      </w:pPr>
      <w:r w:rsidRPr="001308C2">
        <w:t>(b)</w:t>
      </w:r>
      <w:r w:rsidR="001308C2">
        <w:t xml:space="preserve"> </w:t>
      </w:r>
      <w:r w:rsidRPr="001308C2">
        <w:t xml:space="preserve"> The contracting officer shall also make a determination of contractor responsibility prior to exercising the option (See </w:t>
      </w:r>
      <w:hyperlink r:id="rId13" w:anchor="i1116079" w:history="1">
        <w:r w:rsidRPr="001308C2">
          <w:rPr>
            <w:rStyle w:val="Hyperlink"/>
          </w:rPr>
          <w:t>FAR 9.104</w:t>
        </w:r>
      </w:hyperlink>
      <w:r w:rsidRPr="001308C2">
        <w:t>).</w:t>
      </w:r>
    </w:p>
    <w:p w14:paraId="335967CB" w14:textId="77777777" w:rsidR="009A2DAF" w:rsidRPr="001308C2" w:rsidRDefault="009A2DAF" w:rsidP="001308C2">
      <w:pPr>
        <w:pStyle w:val="Heading2"/>
      </w:pPr>
      <w:bookmarkStart w:id="11" w:name="_Toc75354278"/>
      <w:r w:rsidRPr="001308C2">
        <w:t>SUBPART 5617.5 INTERAGENCY ACQUISITIONS</w:t>
      </w:r>
      <w:bookmarkEnd w:id="11"/>
    </w:p>
    <w:p w14:paraId="07EFAC3E" w14:textId="77777777" w:rsidR="009A2DAF" w:rsidRPr="001308C2" w:rsidRDefault="009A2DAF" w:rsidP="001308C2">
      <w:pPr>
        <w:pStyle w:val="Heading4"/>
      </w:pPr>
      <w:bookmarkStart w:id="12" w:name="BM503"/>
      <w:bookmarkStart w:id="13" w:name="BM502_1"/>
      <w:bookmarkStart w:id="14" w:name="_Toc75354279"/>
      <w:bookmarkEnd w:id="12"/>
      <w:bookmarkEnd w:id="13"/>
      <w:r w:rsidRPr="001308C2">
        <w:t>5617.502-1 General.</w:t>
      </w:r>
      <w:bookmarkEnd w:id="14"/>
    </w:p>
    <w:p w14:paraId="10AF83AB" w14:textId="0DD880B8" w:rsidR="009A2DAF" w:rsidRPr="001308C2" w:rsidRDefault="009A2DAF" w:rsidP="001308C2">
      <w:pPr>
        <w:rPr>
          <w:i/>
          <w:iCs/>
        </w:rPr>
      </w:pPr>
      <w:r w:rsidRPr="001308C2">
        <w:rPr>
          <w:i/>
          <w:iCs/>
        </w:rPr>
        <w:t>(Added Ju</w:t>
      </w:r>
      <w:r w:rsidR="00C5665C">
        <w:rPr>
          <w:i/>
          <w:iCs/>
        </w:rPr>
        <w:t>ne 2021</w:t>
      </w:r>
      <w:r w:rsidRPr="001308C2">
        <w:rPr>
          <w:i/>
          <w:iCs/>
        </w:rPr>
        <w:t>)</w:t>
      </w:r>
    </w:p>
    <w:p w14:paraId="385AF2FD" w14:textId="77777777" w:rsidR="009A2DAF" w:rsidRPr="001308C2" w:rsidRDefault="009A2DAF" w:rsidP="001308C2">
      <w:pPr>
        <w:rPr>
          <w:rFonts w:cs="Arial"/>
        </w:rPr>
      </w:pPr>
      <w:r w:rsidRPr="001308C2">
        <w:rPr>
          <w:rFonts w:cs="Arial"/>
        </w:rPr>
        <w:t xml:space="preserve">Follow the guidance at </w:t>
      </w:r>
      <w:hyperlink r:id="rId14" w:anchor="DFARS-PGI_PGI_217.502-1" w:history="1">
        <w:r w:rsidRPr="001308C2">
          <w:rPr>
            <w:rStyle w:val="Hyperlink"/>
            <w:rFonts w:cs="Arial"/>
          </w:rPr>
          <w:t>PGI 217.502-1</w:t>
        </w:r>
      </w:hyperlink>
      <w:r w:rsidRPr="001308C2">
        <w:rPr>
          <w:rFonts w:cs="Arial"/>
        </w:rPr>
        <w:t xml:space="preserve"> when using written interagency agreements between the DoD servicing and DoD requesting component.</w:t>
      </w:r>
    </w:p>
    <w:p w14:paraId="1428B2C6" w14:textId="77777777" w:rsidR="009A2DAF" w:rsidRPr="001308C2" w:rsidRDefault="009A2DAF" w:rsidP="001308C2">
      <w:pPr>
        <w:pStyle w:val="Heading2"/>
      </w:pPr>
      <w:bookmarkStart w:id="15" w:name="_Toc75354280"/>
      <w:r w:rsidRPr="001308C2">
        <w:t>5617.502 Procedures.</w:t>
      </w:r>
      <w:bookmarkEnd w:id="15"/>
    </w:p>
    <w:p w14:paraId="785F07C1" w14:textId="4DB1592A" w:rsidR="009A2DAF" w:rsidRPr="001308C2" w:rsidRDefault="009A2DAF" w:rsidP="001308C2">
      <w:pPr>
        <w:rPr>
          <w:b/>
          <w:i/>
          <w:iCs/>
        </w:rPr>
      </w:pPr>
      <w:r w:rsidRPr="001308C2">
        <w:rPr>
          <w:i/>
          <w:iCs/>
        </w:rPr>
        <w:t xml:space="preserve">(Renumbered </w:t>
      </w:r>
      <w:r w:rsidR="00C5665C">
        <w:rPr>
          <w:i/>
          <w:iCs/>
        </w:rPr>
        <w:t>June 2021</w:t>
      </w:r>
      <w:r w:rsidRPr="001308C2">
        <w:rPr>
          <w:i/>
          <w:iCs/>
        </w:rPr>
        <w:t>)</w:t>
      </w:r>
    </w:p>
    <w:p w14:paraId="70B96F4C" w14:textId="3A78FC20" w:rsidR="009A2DAF" w:rsidRPr="001308C2" w:rsidRDefault="009A2DAF" w:rsidP="001308C2">
      <w:pPr>
        <w:pStyle w:val="Heading4"/>
        <w:rPr>
          <w:rFonts w:cs="Arial"/>
        </w:rPr>
      </w:pPr>
      <w:bookmarkStart w:id="16" w:name="BM503_90"/>
      <w:bookmarkStart w:id="17" w:name="_Toc75354281"/>
      <w:bookmarkEnd w:id="16"/>
      <w:r w:rsidRPr="001308C2">
        <w:rPr>
          <w:rFonts w:cs="Arial"/>
        </w:rPr>
        <w:t>5617.502-90 Economy Act Determinations. </w:t>
      </w:r>
      <w:bookmarkEnd w:id="17"/>
    </w:p>
    <w:p w14:paraId="14EF9DF0" w14:textId="77777777" w:rsidR="009A2DAF" w:rsidRPr="001308C2" w:rsidRDefault="009A2DAF" w:rsidP="001308C2">
      <w:r w:rsidRPr="001308C2">
        <w:t>The Economy Act Determination is a decision document from the customer when a Military Interdepartmental Purchase Request (MIPR) is to be sent outside of DoD and placed on contract by another agency.</w:t>
      </w:r>
    </w:p>
    <w:p w14:paraId="478AC63F" w14:textId="77777777" w:rsidR="009A2DAF" w:rsidRPr="001308C2" w:rsidRDefault="009A2DAF" w:rsidP="001308C2">
      <w:pPr>
        <w:pStyle w:val="List1"/>
      </w:pPr>
      <w:r w:rsidRPr="001308C2">
        <w:rPr>
          <w:rFonts w:eastAsia="Arial"/>
        </w:rPr>
        <w:t>(a)  </w:t>
      </w:r>
      <w:r w:rsidRPr="001308C2">
        <w:t xml:space="preserve">When the requirement shall be purchased by a non-DoD agency covered by the </w:t>
      </w:r>
      <w:hyperlink r:id="rId15" w:history="1">
        <w:r w:rsidRPr="001308C2">
          <w:rPr>
            <w:rStyle w:val="Hyperlink"/>
          </w:rPr>
          <w:t>FAR</w:t>
        </w:r>
      </w:hyperlink>
      <w:r w:rsidRPr="001308C2">
        <w:t>:</w:t>
      </w:r>
    </w:p>
    <w:p w14:paraId="31E4325C" w14:textId="77777777" w:rsidR="009A2DAF" w:rsidRPr="001308C2" w:rsidRDefault="009A2DAF" w:rsidP="001308C2">
      <w:pPr>
        <w:pStyle w:val="List2"/>
      </w:pPr>
      <w:r w:rsidRPr="001308C2">
        <w:t>(1)</w:t>
      </w:r>
      <w:r w:rsidRPr="001308C2">
        <w:tab/>
        <w:t>If an Intergovernmental Support Agreement, signed by the SES, Flag, or General Officer is in place, the Contracting Officer may sign the Economy Act Determination.</w:t>
      </w:r>
    </w:p>
    <w:p w14:paraId="1A6CB43D" w14:textId="77777777" w:rsidR="009A2DAF" w:rsidRPr="001308C2" w:rsidRDefault="009A2DAF" w:rsidP="001308C2">
      <w:pPr>
        <w:pStyle w:val="List2"/>
      </w:pPr>
      <w:r w:rsidRPr="001308C2">
        <w:t>(2)</w:t>
      </w:r>
      <w:r w:rsidRPr="001308C2">
        <w:tab/>
        <w:t xml:space="preserve">If the purchase is not covered by a support agreement, the document is reviewed by the contracting and legal offices prior to being signed by a Flag/General Officer or SES. </w:t>
      </w:r>
    </w:p>
    <w:p w14:paraId="574B4035" w14:textId="77777777" w:rsidR="009A2DAF" w:rsidRPr="001308C2" w:rsidRDefault="009A2DAF" w:rsidP="001308C2">
      <w:pPr>
        <w:pStyle w:val="List1"/>
      </w:pPr>
      <w:r w:rsidRPr="001308C2">
        <w:rPr>
          <w:rFonts w:eastAsia="Arial"/>
        </w:rPr>
        <w:t>(b)  </w:t>
      </w:r>
      <w:r w:rsidRPr="001308C2">
        <w:t xml:space="preserve">When the requirement shall be purchased by an agency not covered by the </w:t>
      </w:r>
      <w:hyperlink r:id="rId16" w:history="1">
        <w:r w:rsidRPr="001308C2">
          <w:rPr>
            <w:rStyle w:val="Hyperlink"/>
          </w:rPr>
          <w:t>FAR</w:t>
        </w:r>
      </w:hyperlink>
      <w:r w:rsidRPr="001308C2">
        <w:t xml:space="preserve">, the document is reviewed by the contracting office and legal prior to being sent to the SPE for signature. </w:t>
      </w:r>
    </w:p>
    <w:p w14:paraId="7CEB05FF" w14:textId="77777777" w:rsidR="009A2DAF" w:rsidRPr="001308C2" w:rsidRDefault="009A2DAF" w:rsidP="001308C2">
      <w:pPr>
        <w:pStyle w:val="List1"/>
      </w:pPr>
      <w:r w:rsidRPr="001308C2">
        <w:rPr>
          <w:rFonts w:eastAsia="Arial"/>
        </w:rPr>
        <w:t>(c)  </w:t>
      </w:r>
      <w:r w:rsidRPr="001308C2">
        <w:t xml:space="preserve">A template for an Economy Act Determination can be found in the Desktop Contracting Guide (DCG). If the template is not used, contracting officers must ensure that all the requirements of </w:t>
      </w:r>
      <w:hyperlink r:id="rId17" w:anchor="i1102847" w:history="1">
        <w:r w:rsidRPr="001308C2">
          <w:rPr>
            <w:rStyle w:val="Hyperlink"/>
          </w:rPr>
          <w:t>FAR 17.502-2(c)</w:t>
        </w:r>
      </w:hyperlink>
      <w:r w:rsidRPr="001308C2">
        <w:t>are addressed. In addition to those requirements, and in accordance with Section 2330(b)(1)(C)(ii), Title 10, United States Code as amended by Section 801 of the National Defense Authorization Act for Fiscal Year 2002, the decision document must address the following considerations:</w:t>
      </w:r>
    </w:p>
    <w:p w14:paraId="5F51F22F" w14:textId="77777777" w:rsidR="009A2DAF" w:rsidRPr="001308C2" w:rsidRDefault="009A2DAF" w:rsidP="001308C2">
      <w:pPr>
        <w:pStyle w:val="List2"/>
      </w:pPr>
      <w:r w:rsidRPr="001308C2">
        <w:t>(1)</w:t>
      </w:r>
      <w:r w:rsidRPr="001308C2">
        <w:tab/>
        <w:t xml:space="preserve">Customer needs in terms of quantity, delivery, and </w:t>
      </w:r>
      <w:proofErr w:type="gramStart"/>
      <w:r w:rsidRPr="001308C2">
        <w:t>price;</w:t>
      </w:r>
      <w:proofErr w:type="gramEnd"/>
    </w:p>
    <w:p w14:paraId="65C4DA4D" w14:textId="77777777" w:rsidR="009A2DAF" w:rsidRPr="001308C2" w:rsidRDefault="009A2DAF" w:rsidP="001308C2">
      <w:pPr>
        <w:pStyle w:val="List2"/>
      </w:pPr>
      <w:r w:rsidRPr="001308C2">
        <w:t>(2)</w:t>
      </w:r>
      <w:r w:rsidRPr="001308C2">
        <w:tab/>
        <w:t xml:space="preserve">Schedule or performance </w:t>
      </w:r>
      <w:proofErr w:type="gramStart"/>
      <w:r w:rsidRPr="001308C2">
        <w:t>period;</w:t>
      </w:r>
      <w:proofErr w:type="gramEnd"/>
    </w:p>
    <w:p w14:paraId="4BF7A506" w14:textId="77777777" w:rsidR="009A2DAF" w:rsidRPr="001308C2" w:rsidRDefault="009A2DAF" w:rsidP="001308C2">
      <w:pPr>
        <w:pStyle w:val="List2"/>
      </w:pPr>
      <w:r w:rsidRPr="001308C2">
        <w:t>(3)</w:t>
      </w:r>
      <w:r w:rsidRPr="001308C2">
        <w:tab/>
        <w:t xml:space="preserve">Identification of DoD or USSOCOM unique terms and conditions that must be included in the award </w:t>
      </w:r>
      <w:proofErr w:type="gramStart"/>
      <w:r w:rsidRPr="001308C2">
        <w:t>document;</w:t>
      </w:r>
      <w:proofErr w:type="gramEnd"/>
    </w:p>
    <w:p w14:paraId="7682A3FA" w14:textId="77777777" w:rsidR="009A2DAF" w:rsidRPr="001308C2" w:rsidRDefault="009A2DAF" w:rsidP="001308C2">
      <w:pPr>
        <w:pStyle w:val="List2"/>
      </w:pPr>
      <w:r w:rsidRPr="001308C2">
        <w:t>(4)</w:t>
      </w:r>
      <w:r w:rsidRPr="001308C2">
        <w:tab/>
        <w:t>Contract administration considerations.</w:t>
      </w:r>
    </w:p>
    <w:p w14:paraId="0CD9B4FF" w14:textId="77777777" w:rsidR="009A2DAF" w:rsidRPr="001308C2" w:rsidRDefault="009A2DAF" w:rsidP="001308C2">
      <w:pPr>
        <w:pStyle w:val="List1"/>
      </w:pPr>
      <w:r w:rsidRPr="001308C2">
        <w:rPr>
          <w:rFonts w:eastAsia="Arial"/>
        </w:rPr>
        <w:t>(d)  </w:t>
      </w:r>
      <w:r w:rsidRPr="001308C2">
        <w:t>Upon award, the Contracting Officer must ensure that the action is properly reported by the non-DoD agency to the Federal Procurement Data System – Next Generation (FPDS-NG) to facilitate proper reporting of metrics on the use of non-DoD contracts to the Director of Procurement and the Office of the Secretary of Defense.</w:t>
      </w:r>
    </w:p>
    <w:p w14:paraId="170141D4" w14:textId="77777777" w:rsidR="009A2DAF" w:rsidRPr="001308C2" w:rsidRDefault="009A2DAF" w:rsidP="001308C2">
      <w:pPr>
        <w:pStyle w:val="Heading2"/>
      </w:pPr>
      <w:bookmarkStart w:id="18" w:name="_Toc75354282"/>
      <w:r w:rsidRPr="001308C2">
        <w:lastRenderedPageBreak/>
        <w:t>SUBPART 5617.7 INTERAGENCY ACQUISITIONS:  ACQUISITIONS BY NONDEFENSE AGENCIES ON BEHALF OF THE DEPARTMENT OF DEFENSE</w:t>
      </w:r>
      <w:bookmarkEnd w:id="18"/>
    </w:p>
    <w:p w14:paraId="2647156B" w14:textId="77777777" w:rsidR="009A2DAF" w:rsidRPr="001308C2" w:rsidRDefault="009A2DAF" w:rsidP="001308C2">
      <w:pPr>
        <w:pStyle w:val="Heading3"/>
      </w:pPr>
      <w:bookmarkStart w:id="19" w:name="_Toc75354283"/>
      <w:r w:rsidRPr="001308C2">
        <w:t>5617.703 Policy</w:t>
      </w:r>
      <w:bookmarkEnd w:id="19"/>
    </w:p>
    <w:p w14:paraId="100D7494" w14:textId="04316179" w:rsidR="009A2DAF" w:rsidRPr="001308C2" w:rsidRDefault="009A2DAF" w:rsidP="001308C2">
      <w:pPr>
        <w:rPr>
          <w:i/>
          <w:iCs/>
        </w:rPr>
      </w:pPr>
      <w:r w:rsidRPr="001308C2">
        <w:rPr>
          <w:i/>
          <w:iCs/>
        </w:rPr>
        <w:t>(Renumbered Ju</w:t>
      </w:r>
      <w:r w:rsidR="00C5665C">
        <w:rPr>
          <w:i/>
          <w:iCs/>
        </w:rPr>
        <w:t>ne 2021</w:t>
      </w:r>
      <w:r w:rsidRPr="001308C2">
        <w:rPr>
          <w:i/>
          <w:iCs/>
        </w:rPr>
        <w:t>)</w:t>
      </w:r>
    </w:p>
    <w:p w14:paraId="6F3E08E9" w14:textId="77777777" w:rsidR="009A2DAF" w:rsidRPr="001308C2" w:rsidRDefault="009A2DAF" w:rsidP="001308C2">
      <w:pPr>
        <w:pStyle w:val="Heading4"/>
      </w:pPr>
      <w:bookmarkStart w:id="20" w:name="_Toc75354284"/>
      <w:r w:rsidRPr="001308C2">
        <w:t>5617.703-91 Use of Non-DoD Contracts and Agencies</w:t>
      </w:r>
      <w:bookmarkEnd w:id="20"/>
    </w:p>
    <w:p w14:paraId="39E8C6DC" w14:textId="69F13A3D" w:rsidR="009A2DAF" w:rsidRPr="001308C2" w:rsidRDefault="009A2DAF" w:rsidP="001308C2">
      <w:pPr>
        <w:pStyle w:val="Heading5"/>
        <w:rPr>
          <w:rFonts w:ascii="Courier New" w:hAnsi="Courier New" w:cs="Courier New"/>
          <w:b/>
        </w:rPr>
      </w:pPr>
      <w:bookmarkStart w:id="21" w:name="BM503_91"/>
      <w:bookmarkEnd w:id="21"/>
      <w:r w:rsidRPr="001308C2">
        <w:rPr>
          <w:rFonts w:cs="Arial"/>
          <w:b/>
        </w:rPr>
        <w:t>5617.703-91.1 Determination and Certification for use of Non-DoD contracts.</w:t>
      </w:r>
    </w:p>
    <w:p w14:paraId="3221B546" w14:textId="77777777" w:rsidR="009A2DAF" w:rsidRPr="001308C2" w:rsidRDefault="009A2DAF" w:rsidP="001308C2">
      <w:pPr>
        <w:pStyle w:val="List1"/>
      </w:pPr>
      <w:r w:rsidRPr="001308C2">
        <w:rPr>
          <w:rFonts w:eastAsia="Arial"/>
        </w:rPr>
        <w:t>(a)  </w:t>
      </w:r>
      <w:r w:rsidRPr="001308C2">
        <w:t>A determination for use of a Non-DoD contract or agency must be prepared prior to placing any order greater than the simplified acquisition threshold against a Non-DoD contract. This determination must be coordinated between the requesting organization and the contracting office. Comptroller coordination is required to ensure that the funding appropriation is consistent with the supplies or services to be acquired. Both the using organization and contracting office must certify the determination document prior to placing an order against a non-DoD contract. A copy of the certified determination must be retained in the contract file.</w:t>
      </w:r>
    </w:p>
    <w:p w14:paraId="5233FF9E" w14:textId="77777777" w:rsidR="009A2DAF" w:rsidRPr="001308C2" w:rsidRDefault="009A2DAF" w:rsidP="001308C2">
      <w:pPr>
        <w:pStyle w:val="List1"/>
      </w:pPr>
      <w:r w:rsidRPr="001308C2">
        <w:rPr>
          <w:rFonts w:eastAsia="Arial"/>
        </w:rPr>
        <w:t>(b)  </w:t>
      </w:r>
      <w:r w:rsidRPr="001308C2">
        <w:t>A certified determination must be completed when transferring money to a non-DoD agency. The determination must be certified by the requesting activity and a contracting officer from the purchasing agency prior to legal review. A copy of the certified determination must accompany the inter-departmental purchase request.</w:t>
      </w:r>
    </w:p>
    <w:p w14:paraId="2FE22B4A" w14:textId="77777777" w:rsidR="009A2DAF" w:rsidRPr="001308C2" w:rsidRDefault="009A2DAF" w:rsidP="001308C2">
      <w:pPr>
        <w:pStyle w:val="List1"/>
      </w:pPr>
      <w:r w:rsidRPr="001308C2">
        <w:rPr>
          <w:rFonts w:eastAsia="Arial"/>
        </w:rPr>
        <w:t>(c)  </w:t>
      </w:r>
      <w:r w:rsidRPr="001308C2">
        <w:t>A template for the Determination for Use of a Non-DoD Contract, as well as further information, can be found in the DCG. When the template is not used, Contracting Officers must ensure that the determination document addresses each of the following considerations:</w:t>
      </w:r>
    </w:p>
    <w:p w14:paraId="12A37606" w14:textId="77777777" w:rsidR="009A2DAF" w:rsidRPr="001308C2" w:rsidRDefault="009A2DAF" w:rsidP="001308C2">
      <w:pPr>
        <w:pStyle w:val="List2"/>
      </w:pPr>
      <w:r w:rsidRPr="001308C2">
        <w:rPr>
          <w:rFonts w:eastAsia="Arial"/>
        </w:rPr>
        <w:t>(1)  </w:t>
      </w:r>
      <w:r w:rsidRPr="001308C2">
        <w:t xml:space="preserve">Customer needs in terms of quantity, delivery, and </w:t>
      </w:r>
      <w:proofErr w:type="gramStart"/>
      <w:r w:rsidRPr="001308C2">
        <w:t>price;</w:t>
      </w:r>
      <w:proofErr w:type="gramEnd"/>
    </w:p>
    <w:p w14:paraId="23F38A3D" w14:textId="77777777" w:rsidR="009A2DAF" w:rsidRPr="001308C2" w:rsidRDefault="009A2DAF" w:rsidP="001308C2">
      <w:pPr>
        <w:pStyle w:val="List2"/>
      </w:pPr>
      <w:r w:rsidRPr="001308C2">
        <w:rPr>
          <w:rFonts w:eastAsia="Arial"/>
        </w:rPr>
        <w:t xml:space="preserve">(2)  </w:t>
      </w:r>
      <w:r w:rsidRPr="001308C2">
        <w:t xml:space="preserve">Cost effectiveness, including fees and </w:t>
      </w:r>
      <w:proofErr w:type="gramStart"/>
      <w:r w:rsidRPr="001308C2">
        <w:t>discounts;</w:t>
      </w:r>
      <w:proofErr w:type="gramEnd"/>
    </w:p>
    <w:p w14:paraId="510B19A1" w14:textId="77777777" w:rsidR="009A2DAF" w:rsidRPr="001308C2" w:rsidRDefault="009A2DAF" w:rsidP="001308C2">
      <w:pPr>
        <w:pStyle w:val="List2"/>
      </w:pPr>
      <w:r w:rsidRPr="001308C2">
        <w:rPr>
          <w:rFonts w:eastAsia="Arial"/>
        </w:rPr>
        <w:t xml:space="preserve">(3)  </w:t>
      </w:r>
      <w:r w:rsidRPr="001308C2">
        <w:t xml:space="preserve">Performances of market research and identification of multiple </w:t>
      </w:r>
      <w:proofErr w:type="gramStart"/>
      <w:r w:rsidRPr="001308C2">
        <w:t>sources;</w:t>
      </w:r>
      <w:proofErr w:type="gramEnd"/>
    </w:p>
    <w:p w14:paraId="31E31CAA" w14:textId="77777777" w:rsidR="009A2DAF" w:rsidRPr="001308C2" w:rsidRDefault="009A2DAF" w:rsidP="001308C2">
      <w:pPr>
        <w:pStyle w:val="List2"/>
      </w:pPr>
      <w:r w:rsidRPr="001308C2">
        <w:rPr>
          <w:rFonts w:eastAsia="Arial"/>
        </w:rPr>
        <w:t>(4) </w:t>
      </w:r>
      <w:r w:rsidR="001308C2">
        <w:rPr>
          <w:rFonts w:eastAsia="Arial"/>
        </w:rPr>
        <w:t xml:space="preserve"> </w:t>
      </w:r>
      <w:r w:rsidRPr="001308C2">
        <w:t xml:space="preserve">Whether the requirement is within the scope of the intended contract </w:t>
      </w:r>
      <w:proofErr w:type="gramStart"/>
      <w:r w:rsidRPr="001308C2">
        <w:t>vehicle;</w:t>
      </w:r>
      <w:proofErr w:type="gramEnd"/>
    </w:p>
    <w:p w14:paraId="70CF842A" w14:textId="77777777" w:rsidR="009A2DAF" w:rsidRPr="001308C2" w:rsidRDefault="009A2DAF" w:rsidP="001308C2">
      <w:pPr>
        <w:pStyle w:val="List2"/>
      </w:pPr>
      <w:r w:rsidRPr="001308C2">
        <w:rPr>
          <w:rFonts w:eastAsia="Arial"/>
        </w:rPr>
        <w:t>(5)  </w:t>
      </w:r>
      <w:r w:rsidRPr="001308C2">
        <w:t xml:space="preserve">Small business considerations such as bundling or subcontracting </w:t>
      </w:r>
      <w:proofErr w:type="gramStart"/>
      <w:r w:rsidRPr="001308C2">
        <w:t>opportunities;</w:t>
      </w:r>
      <w:proofErr w:type="gramEnd"/>
    </w:p>
    <w:p w14:paraId="640E3A5D" w14:textId="77777777" w:rsidR="009A2DAF" w:rsidRPr="001308C2" w:rsidRDefault="009A2DAF" w:rsidP="001308C2">
      <w:pPr>
        <w:pStyle w:val="List2"/>
      </w:pPr>
      <w:r w:rsidRPr="001308C2">
        <w:rPr>
          <w:rFonts w:eastAsia="Arial"/>
        </w:rPr>
        <w:t>(6)  </w:t>
      </w:r>
      <w:r w:rsidRPr="001308C2">
        <w:t xml:space="preserve">Schedule or performance </w:t>
      </w:r>
      <w:proofErr w:type="gramStart"/>
      <w:r w:rsidRPr="001308C2">
        <w:t>period;</w:t>
      </w:r>
      <w:proofErr w:type="gramEnd"/>
    </w:p>
    <w:p w14:paraId="10E1EC69" w14:textId="77777777" w:rsidR="009A2DAF" w:rsidRPr="001308C2" w:rsidRDefault="009A2DAF" w:rsidP="001308C2">
      <w:pPr>
        <w:pStyle w:val="List2"/>
      </w:pPr>
      <w:r w:rsidRPr="001308C2">
        <w:rPr>
          <w:rFonts w:eastAsia="Arial"/>
        </w:rPr>
        <w:t>(7)  </w:t>
      </w:r>
      <w:r w:rsidRPr="001308C2">
        <w:t xml:space="preserve">Identification of DoD or USSOCOM unique terms and conditions that must be included in the award </w:t>
      </w:r>
      <w:proofErr w:type="gramStart"/>
      <w:r w:rsidRPr="001308C2">
        <w:t>document;</w:t>
      </w:r>
      <w:proofErr w:type="gramEnd"/>
    </w:p>
    <w:p w14:paraId="46373DD4" w14:textId="77777777" w:rsidR="009A2DAF" w:rsidRPr="001308C2" w:rsidRDefault="009A2DAF" w:rsidP="001308C2">
      <w:pPr>
        <w:pStyle w:val="List2"/>
      </w:pPr>
      <w:r w:rsidRPr="001308C2">
        <w:rPr>
          <w:rFonts w:eastAsia="Arial"/>
        </w:rPr>
        <w:t>(8)  </w:t>
      </w:r>
      <w:r w:rsidRPr="001308C2">
        <w:t xml:space="preserve">Contract administration </w:t>
      </w:r>
      <w:proofErr w:type="gramStart"/>
      <w:r w:rsidRPr="001308C2">
        <w:t>considerations;</w:t>
      </w:r>
      <w:proofErr w:type="gramEnd"/>
    </w:p>
    <w:p w14:paraId="504BC502" w14:textId="77777777" w:rsidR="009A2DAF" w:rsidRPr="001308C2" w:rsidRDefault="009A2DAF" w:rsidP="001308C2">
      <w:pPr>
        <w:pStyle w:val="List2"/>
      </w:pPr>
      <w:r w:rsidRPr="001308C2">
        <w:rPr>
          <w:rFonts w:eastAsia="Arial"/>
        </w:rPr>
        <w:t>(9)  </w:t>
      </w:r>
      <w:r w:rsidRPr="001308C2">
        <w:t>Consistency of the funding appropriation.</w:t>
      </w:r>
    </w:p>
    <w:p w14:paraId="05D1B326" w14:textId="77777777" w:rsidR="009A2DAF" w:rsidRPr="001308C2" w:rsidRDefault="009A2DAF" w:rsidP="001308C2">
      <w:pPr>
        <w:pStyle w:val="List1"/>
      </w:pPr>
      <w:r w:rsidRPr="001308C2">
        <w:rPr>
          <w:rFonts w:eastAsia="Arial"/>
        </w:rPr>
        <w:t>(d)  </w:t>
      </w:r>
      <w:r w:rsidRPr="001308C2">
        <w:t xml:space="preserve">Upon award, the Contracting Officer must ensure that the action is properly reported to the Federal Procurement Data System – Next Generation (FPDS-NG) to facilitate proper reporting of metrics on the use of non-DoD contracts to the Director of Procurement and the Office of the Secretary of Defense.  </w:t>
      </w:r>
    </w:p>
    <w:p w14:paraId="58D26EFA" w14:textId="473AC505" w:rsidR="009A2DAF" w:rsidRPr="001308C2" w:rsidRDefault="009A2DAF" w:rsidP="001308C2">
      <w:pPr>
        <w:pStyle w:val="Heading2"/>
        <w:rPr>
          <w:rFonts w:cs="Arial"/>
        </w:rPr>
      </w:pPr>
      <w:bookmarkStart w:id="22" w:name="_Toc75354285"/>
      <w:r w:rsidRPr="001308C2">
        <w:rPr>
          <w:rFonts w:cs="Arial"/>
        </w:rPr>
        <w:t xml:space="preserve">SUBPART 5617.74 - UNDEFINITIZED CONTRACT ACTIONS </w:t>
      </w:r>
      <w:bookmarkEnd w:id="22"/>
    </w:p>
    <w:p w14:paraId="1BF8532D" w14:textId="77777777" w:rsidR="009A2DAF" w:rsidRPr="001308C2" w:rsidRDefault="009A2DAF" w:rsidP="001308C2">
      <w:pPr>
        <w:pStyle w:val="Heading3"/>
      </w:pPr>
      <w:bookmarkStart w:id="23" w:name="_Toc75354286"/>
      <w:r w:rsidRPr="001308C2">
        <w:t>5617.7404 Limitations.</w:t>
      </w:r>
      <w:bookmarkEnd w:id="23"/>
    </w:p>
    <w:p w14:paraId="209B9D79" w14:textId="77777777" w:rsidR="009A2DAF" w:rsidRPr="001308C2" w:rsidRDefault="009A2DAF" w:rsidP="001308C2">
      <w:pPr>
        <w:pStyle w:val="Heading4"/>
      </w:pPr>
      <w:bookmarkStart w:id="24" w:name="BM7401_1"/>
      <w:bookmarkStart w:id="25" w:name="BM7404_1"/>
      <w:bookmarkStart w:id="26" w:name="_Toc75354287"/>
      <w:bookmarkEnd w:id="24"/>
      <w:bookmarkEnd w:id="25"/>
      <w:r w:rsidRPr="001308C2">
        <w:t>5617.7404-1 Authorization.</w:t>
      </w:r>
      <w:bookmarkEnd w:id="26"/>
      <w:r w:rsidRPr="001308C2">
        <w:t xml:space="preserve"> </w:t>
      </w:r>
    </w:p>
    <w:p w14:paraId="0CF4E04F" w14:textId="77777777" w:rsidR="009A2DAF" w:rsidRPr="001308C2" w:rsidRDefault="009A2DAF" w:rsidP="001308C2">
      <w:pPr>
        <w:rPr>
          <w:i/>
          <w:iCs/>
        </w:rPr>
      </w:pPr>
      <w:r w:rsidRPr="001308C2">
        <w:rPr>
          <w:i/>
          <w:iCs/>
        </w:rPr>
        <w:t>(Revised November 2018)</w:t>
      </w:r>
    </w:p>
    <w:p w14:paraId="294DF6C4" w14:textId="77777777" w:rsidR="009A2DAF" w:rsidRPr="001308C2" w:rsidRDefault="009A2DAF" w:rsidP="001308C2">
      <w:pPr>
        <w:pStyle w:val="List1"/>
      </w:pPr>
      <w:r w:rsidRPr="001308C2">
        <w:t>(a)  At a minimum, when submitting a Undefinitized Contract Action (UCA) request to the Directorate of Procurement, the cognizant Requiring Activity Official will provide:</w:t>
      </w:r>
    </w:p>
    <w:p w14:paraId="2F007C4B" w14:textId="77777777" w:rsidR="009A2DAF" w:rsidRPr="001308C2" w:rsidRDefault="009A2DAF" w:rsidP="001308C2">
      <w:pPr>
        <w:pStyle w:val="List2"/>
      </w:pPr>
      <w:r w:rsidRPr="001308C2">
        <w:rPr>
          <w:rFonts w:eastAsia="Arial"/>
        </w:rPr>
        <w:t>(1)  </w:t>
      </w:r>
      <w:r w:rsidRPr="001308C2">
        <w:t xml:space="preserve">An Independent Government Cost </w:t>
      </w:r>
      <w:proofErr w:type="gramStart"/>
      <w:r w:rsidRPr="001308C2">
        <w:t>Estimate;</w:t>
      </w:r>
      <w:proofErr w:type="gramEnd"/>
    </w:p>
    <w:p w14:paraId="40AD20D6" w14:textId="77777777" w:rsidR="009A2DAF" w:rsidRPr="001308C2" w:rsidRDefault="009A2DAF" w:rsidP="001308C2">
      <w:pPr>
        <w:pStyle w:val="List2"/>
      </w:pPr>
      <w:r w:rsidRPr="001308C2">
        <w:rPr>
          <w:rFonts w:eastAsia="Arial"/>
        </w:rPr>
        <w:t>(2)  </w:t>
      </w:r>
      <w:r w:rsidRPr="001308C2">
        <w:t>A detailed statement of objectives/statement of work delineating the program requirement, quantities, item(s) description, and delivery schedule and/or other documentation requirement by the Contracting Officer.</w:t>
      </w:r>
    </w:p>
    <w:p w14:paraId="4CD1988B" w14:textId="77777777" w:rsidR="009A2DAF" w:rsidRPr="001308C2" w:rsidRDefault="009A2DAF" w:rsidP="001308C2">
      <w:pPr>
        <w:pStyle w:val="List2"/>
      </w:pPr>
      <w:r w:rsidRPr="001308C2">
        <w:rPr>
          <w:rFonts w:eastAsia="Arial"/>
        </w:rPr>
        <w:lastRenderedPageBreak/>
        <w:t>(3)  </w:t>
      </w:r>
      <w:r w:rsidRPr="001308C2">
        <w:t>Certified Funding</w:t>
      </w:r>
    </w:p>
    <w:p w14:paraId="1FD5EE6E" w14:textId="77777777" w:rsidR="009A2DAF" w:rsidRPr="001308C2" w:rsidRDefault="009A2DAF" w:rsidP="001308C2">
      <w:pPr>
        <w:pStyle w:val="List1"/>
      </w:pPr>
      <w:r w:rsidRPr="001308C2">
        <w:t xml:space="preserve">(b)  The Requiring Activity, in coordination with the Contracting Officer shall prepare the Determination and Finding and obtain the HCA’s approval prior to issuing a UCA. The </w:t>
      </w:r>
      <w:hyperlink r:id="rId18" w:history="1">
        <w:r w:rsidRPr="001308C2">
          <w:rPr>
            <w:rStyle w:val="Hyperlink"/>
          </w:rPr>
          <w:t>DoD UCA Template</w:t>
        </w:r>
      </w:hyperlink>
      <w:r w:rsidRPr="001308C2">
        <w:t xml:space="preserve"> is included in DFARS </w:t>
      </w:r>
      <w:hyperlink r:id="rId19" w:anchor="_Toc37077536" w:history="1">
        <w:r w:rsidRPr="001308C2">
          <w:rPr>
            <w:rStyle w:val="Hyperlink"/>
          </w:rPr>
          <w:t>PGI 217.7404-1(2)</w:t>
        </w:r>
      </w:hyperlink>
      <w:r w:rsidRPr="001308C2">
        <w:t xml:space="preserve">.  When submitting a UCA for review, a draft of the letter contract </w:t>
      </w:r>
      <w:r w:rsidRPr="001308C2">
        <w:rPr>
          <w:u w:val="single"/>
        </w:rPr>
        <w:t>must</w:t>
      </w:r>
      <w:r w:rsidRPr="001308C2">
        <w:t xml:space="preserve"> be provided.</w:t>
      </w:r>
    </w:p>
    <w:p w14:paraId="6D28B4F2" w14:textId="77777777" w:rsidR="009A2DAF" w:rsidRPr="001308C2" w:rsidRDefault="009A2DAF" w:rsidP="001308C2">
      <w:pPr>
        <w:pStyle w:val="List1"/>
      </w:pPr>
      <w:r w:rsidRPr="001308C2">
        <w:t>(c)  Any changes to the original UCA requirements, quantities, or estimated cost must be submitted by the requiring activity and approved by the HCA as amended verbiage to the UCA D&amp;F. The appropriate NTE changes should be included in the amended D&amp;F.</w:t>
      </w:r>
    </w:p>
    <w:p w14:paraId="4DB29097" w14:textId="3D207AB3" w:rsidR="009A2DAF" w:rsidRPr="001308C2" w:rsidRDefault="009A2DAF" w:rsidP="001308C2">
      <w:pPr>
        <w:pStyle w:val="List1"/>
      </w:pPr>
      <w:r w:rsidRPr="001308C2">
        <w:t xml:space="preserve">(d)  See the </w:t>
      </w:r>
      <w:r w:rsidRPr="00B46DB0">
        <w:t>DCG</w:t>
      </w:r>
      <w:r w:rsidRPr="001308C2">
        <w:t xml:space="preserve"> for the responsibilities for recording and tracking UCAs.</w:t>
      </w:r>
    </w:p>
    <w:p w14:paraId="5661C141" w14:textId="77777777" w:rsidR="009A2DAF" w:rsidRPr="001308C2" w:rsidRDefault="009A2DAF" w:rsidP="001308C2">
      <w:pPr>
        <w:pStyle w:val="Heading4"/>
      </w:pPr>
      <w:bookmarkStart w:id="27" w:name="BM7404_3"/>
      <w:bookmarkStart w:id="28" w:name="_Toc75354288"/>
      <w:bookmarkEnd w:id="27"/>
      <w:r w:rsidRPr="001308C2">
        <w:t>5617.7404-3 Definitization Schedule.</w:t>
      </w:r>
      <w:bookmarkEnd w:id="28"/>
    </w:p>
    <w:p w14:paraId="7F3FB0A1" w14:textId="77777777" w:rsidR="009A2DAF" w:rsidRPr="001308C2" w:rsidRDefault="009A2DAF" w:rsidP="001308C2">
      <w:pPr>
        <w:pStyle w:val="List1"/>
      </w:pPr>
      <w:r w:rsidRPr="001308C2">
        <w:t>(a)</w:t>
      </w:r>
    </w:p>
    <w:p w14:paraId="4967FE68" w14:textId="77777777" w:rsidR="009A2DAF" w:rsidRPr="001308C2" w:rsidRDefault="009A2DAF" w:rsidP="001308C2">
      <w:pPr>
        <w:pStyle w:val="List2"/>
      </w:pPr>
      <w:r w:rsidRPr="001308C2">
        <w:t xml:space="preserve">(3) </w:t>
      </w:r>
      <w:r w:rsidR="001308C2" w:rsidRPr="001308C2">
        <w:t xml:space="preserve"> </w:t>
      </w:r>
      <w:r w:rsidRPr="001308C2">
        <w:t xml:space="preserve">A request to exceed the limitations of the </w:t>
      </w:r>
      <w:proofErr w:type="spellStart"/>
      <w:r w:rsidRPr="001308C2">
        <w:t>definitization</w:t>
      </w:r>
      <w:proofErr w:type="spellEnd"/>
      <w:r w:rsidRPr="001308C2">
        <w:t xml:space="preserve"> schedule of an UCA beyond the dates established in </w:t>
      </w:r>
      <w:hyperlink r:id="rId20" w:anchor="_Toc37090191" w:history="1">
        <w:r w:rsidRPr="001308C2">
          <w:rPr>
            <w:rStyle w:val="Hyperlink"/>
            <w:rFonts w:cs="Arial"/>
          </w:rPr>
          <w:t>DFARS 217.7404-3(a)</w:t>
        </w:r>
      </w:hyperlink>
      <w:r w:rsidRPr="001308C2">
        <w:t xml:space="preserve"> shall be submitted for approval to the HCA. </w:t>
      </w:r>
    </w:p>
    <w:p w14:paraId="3597C79B" w14:textId="77777777" w:rsidR="009A2DAF" w:rsidRDefault="009A2DAF" w:rsidP="001308C2">
      <w:pPr>
        <w:pStyle w:val="List2"/>
      </w:pPr>
      <w:r w:rsidRPr="001308C2">
        <w:t xml:space="preserve">(4) </w:t>
      </w:r>
      <w:r w:rsidR="001308C2" w:rsidRPr="001308C2">
        <w:t xml:space="preserve"> </w:t>
      </w:r>
      <w:r w:rsidRPr="001308C2">
        <w:t>The request shall include a statement detailing the actions taken to enforce the milestone schedule. If applicable, provide a detailed explanation of any governm</w:t>
      </w:r>
      <w:r>
        <w:t>ent caused delay or any government action resulting in a substantial contribution to the delay.</w:t>
      </w:r>
    </w:p>
    <w:p w14:paraId="1AD14766" w14:textId="77777777" w:rsidR="009A2DAF" w:rsidRDefault="009A2DAF" w:rsidP="001308C2"/>
    <w:p w14:paraId="69ACCF78" w14:textId="77777777" w:rsidR="009A2DAF" w:rsidRPr="00760A3D" w:rsidRDefault="009A2DAF" w:rsidP="001308C2">
      <w:pPr>
        <w:spacing w:after="0"/>
      </w:pPr>
      <w:r w:rsidRPr="00760A3D">
        <w:t>HQ, United States Special Operations Command</w:t>
      </w:r>
      <w:r w:rsidRPr="00760A3D">
        <w:br/>
        <w:t>Special Operations Forces Acquisition, Technology, and Logistics (SOF AT&amp;L-K)</w:t>
      </w:r>
    </w:p>
    <w:p w14:paraId="25A0305F" w14:textId="77777777" w:rsidR="009A2DAF" w:rsidRPr="00760A3D" w:rsidRDefault="009A2DAF" w:rsidP="001308C2">
      <w:pPr>
        <w:spacing w:after="0"/>
      </w:pPr>
      <w:r w:rsidRPr="00760A3D">
        <w:t xml:space="preserve">SOFARS 5617 </w:t>
      </w:r>
    </w:p>
    <w:p w14:paraId="0D6C7712" w14:textId="77777777" w:rsidR="009A2DAF" w:rsidRPr="00760A3D" w:rsidRDefault="009A2DAF" w:rsidP="001308C2">
      <w:pPr>
        <w:spacing w:after="0"/>
      </w:pPr>
      <w:r w:rsidRPr="00760A3D">
        <w:t>February 2007 </w:t>
      </w:r>
    </w:p>
    <w:p w14:paraId="152096C1" w14:textId="77777777" w:rsidR="007059C1" w:rsidRPr="00BE196B" w:rsidRDefault="007059C1" w:rsidP="001308C2"/>
    <w:sectPr w:rsidR="007059C1" w:rsidRPr="00BE196B" w:rsidSect="009A2DAF">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E2787" w14:textId="77777777" w:rsidR="009A2DAF" w:rsidRDefault="009A2DAF" w:rsidP="001308C2">
      <w:r>
        <w:separator/>
      </w:r>
    </w:p>
  </w:endnote>
  <w:endnote w:type="continuationSeparator" w:id="0">
    <w:p w14:paraId="21ECF424" w14:textId="77777777" w:rsidR="009A2DAF" w:rsidRDefault="009A2DAF" w:rsidP="00130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419D8" w14:textId="77777777" w:rsidR="009A2DAF" w:rsidRDefault="009A2DAF" w:rsidP="001308C2">
      <w:r>
        <w:separator/>
      </w:r>
    </w:p>
  </w:footnote>
  <w:footnote w:type="continuationSeparator" w:id="0">
    <w:p w14:paraId="601094E6" w14:textId="77777777" w:rsidR="009A2DAF" w:rsidRDefault="009A2DAF" w:rsidP="001308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936D5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30E8D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A6C8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B6A9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5049C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1ED5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A466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083E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6E86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0823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67D7E"/>
    <w:multiLevelType w:val="hybridMultilevel"/>
    <w:tmpl w:val="51105C20"/>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7F3257"/>
    <w:multiLevelType w:val="hybridMultilevel"/>
    <w:tmpl w:val="86C0F5B6"/>
    <w:lvl w:ilvl="0" w:tplc="3C865DF8">
      <w:start w:val="1"/>
      <w:numFmt w:val="lowerLetter"/>
      <w:lvlText w:val="(%1)"/>
      <w:lvlJc w:val="left"/>
      <w:pPr>
        <w:ind w:left="360" w:hanging="360"/>
      </w:pPr>
      <w:rPr>
        <w:rFonts w:eastAsia="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5F43784"/>
    <w:multiLevelType w:val="hybridMultilevel"/>
    <w:tmpl w:val="EB06E258"/>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24"/>
  </w:num>
  <w:num w:numId="3">
    <w:abstractNumId w:val="18"/>
  </w:num>
  <w:num w:numId="4">
    <w:abstractNumId w:val="21"/>
  </w:num>
  <w:num w:numId="5">
    <w:abstractNumId w:val="29"/>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20"/>
  </w:num>
  <w:num w:numId="19">
    <w:abstractNumId w:val="30"/>
  </w:num>
  <w:num w:numId="20">
    <w:abstractNumId w:val="10"/>
  </w:num>
  <w:num w:numId="21">
    <w:abstractNumId w:val="23"/>
  </w:num>
  <w:num w:numId="22">
    <w:abstractNumId w:val="28"/>
  </w:num>
  <w:num w:numId="23">
    <w:abstractNumId w:val="17"/>
  </w:num>
  <w:num w:numId="24">
    <w:abstractNumId w:val="16"/>
  </w:num>
  <w:num w:numId="25">
    <w:abstractNumId w:val="15"/>
  </w:num>
  <w:num w:numId="26">
    <w:abstractNumId w:val="12"/>
  </w:num>
  <w:num w:numId="27">
    <w:abstractNumId w:val="25"/>
  </w:num>
  <w:num w:numId="28">
    <w:abstractNumId w:val="11"/>
  </w:num>
  <w:num w:numId="29">
    <w:abstractNumId w:val="31"/>
  </w:num>
  <w:num w:numId="30">
    <w:abstractNumId w:val="27"/>
  </w:num>
  <w:num w:numId="31">
    <w:abstractNumId w:val="13"/>
  </w:num>
  <w:num w:numId="32">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AF"/>
    <w:rsid w:val="00040798"/>
    <w:rsid w:val="00072DE6"/>
    <w:rsid w:val="000C65F5"/>
    <w:rsid w:val="000E19AF"/>
    <w:rsid w:val="000E6E2A"/>
    <w:rsid w:val="000F5037"/>
    <w:rsid w:val="001308C2"/>
    <w:rsid w:val="00173206"/>
    <w:rsid w:val="00182208"/>
    <w:rsid w:val="00187D8F"/>
    <w:rsid w:val="00195EAD"/>
    <w:rsid w:val="001A79C7"/>
    <w:rsid w:val="001B5390"/>
    <w:rsid w:val="001D4638"/>
    <w:rsid w:val="002110A6"/>
    <w:rsid w:val="00214BB7"/>
    <w:rsid w:val="00261D44"/>
    <w:rsid w:val="00274018"/>
    <w:rsid w:val="00275457"/>
    <w:rsid w:val="002954CC"/>
    <w:rsid w:val="00326934"/>
    <w:rsid w:val="003608B6"/>
    <w:rsid w:val="003768C3"/>
    <w:rsid w:val="003772D3"/>
    <w:rsid w:val="003B3152"/>
    <w:rsid w:val="003F0F42"/>
    <w:rsid w:val="0040054A"/>
    <w:rsid w:val="004126BB"/>
    <w:rsid w:val="00412DCC"/>
    <w:rsid w:val="00417B94"/>
    <w:rsid w:val="00422A3D"/>
    <w:rsid w:val="00442AD5"/>
    <w:rsid w:val="00452346"/>
    <w:rsid w:val="00461665"/>
    <w:rsid w:val="00474B54"/>
    <w:rsid w:val="00482B1F"/>
    <w:rsid w:val="00490D33"/>
    <w:rsid w:val="00491BBC"/>
    <w:rsid w:val="004A5A42"/>
    <w:rsid w:val="004B17FA"/>
    <w:rsid w:val="004D0746"/>
    <w:rsid w:val="004E416B"/>
    <w:rsid w:val="004F52F1"/>
    <w:rsid w:val="00581655"/>
    <w:rsid w:val="005A4035"/>
    <w:rsid w:val="005C406D"/>
    <w:rsid w:val="0061650B"/>
    <w:rsid w:val="00683B9C"/>
    <w:rsid w:val="00694479"/>
    <w:rsid w:val="006A2BFC"/>
    <w:rsid w:val="006D057C"/>
    <w:rsid w:val="0070464A"/>
    <w:rsid w:val="007059C1"/>
    <w:rsid w:val="00714E43"/>
    <w:rsid w:val="00737021"/>
    <w:rsid w:val="00753CD5"/>
    <w:rsid w:val="007543B1"/>
    <w:rsid w:val="007559D7"/>
    <w:rsid w:val="00761A95"/>
    <w:rsid w:val="007703A5"/>
    <w:rsid w:val="00771FAA"/>
    <w:rsid w:val="00787B4D"/>
    <w:rsid w:val="0079500D"/>
    <w:rsid w:val="007C1D83"/>
    <w:rsid w:val="008114E7"/>
    <w:rsid w:val="00817171"/>
    <w:rsid w:val="008921AD"/>
    <w:rsid w:val="008B3E9B"/>
    <w:rsid w:val="008C4E69"/>
    <w:rsid w:val="0091065B"/>
    <w:rsid w:val="009703A1"/>
    <w:rsid w:val="00991E52"/>
    <w:rsid w:val="009A2DAF"/>
    <w:rsid w:val="009C4D36"/>
    <w:rsid w:val="00A15E6F"/>
    <w:rsid w:val="00A40B36"/>
    <w:rsid w:val="00A50C02"/>
    <w:rsid w:val="00A70C79"/>
    <w:rsid w:val="00A71E8C"/>
    <w:rsid w:val="00A84862"/>
    <w:rsid w:val="00AA152B"/>
    <w:rsid w:val="00B163CA"/>
    <w:rsid w:val="00B242FC"/>
    <w:rsid w:val="00B26F4A"/>
    <w:rsid w:val="00B30CA5"/>
    <w:rsid w:val="00B46DB0"/>
    <w:rsid w:val="00B51BD8"/>
    <w:rsid w:val="00B52521"/>
    <w:rsid w:val="00B5536C"/>
    <w:rsid w:val="00B727F8"/>
    <w:rsid w:val="00BE196B"/>
    <w:rsid w:val="00C271D5"/>
    <w:rsid w:val="00C310FE"/>
    <w:rsid w:val="00C4413F"/>
    <w:rsid w:val="00C5665C"/>
    <w:rsid w:val="00C57FC4"/>
    <w:rsid w:val="00C946DE"/>
    <w:rsid w:val="00C96C49"/>
    <w:rsid w:val="00CB2806"/>
    <w:rsid w:val="00CB2A34"/>
    <w:rsid w:val="00CF18B4"/>
    <w:rsid w:val="00D23DBC"/>
    <w:rsid w:val="00D50A0B"/>
    <w:rsid w:val="00D828A5"/>
    <w:rsid w:val="00DA6976"/>
    <w:rsid w:val="00DD456B"/>
    <w:rsid w:val="00E13A99"/>
    <w:rsid w:val="00E35FEF"/>
    <w:rsid w:val="00E41EC2"/>
    <w:rsid w:val="00E4240B"/>
    <w:rsid w:val="00E82704"/>
    <w:rsid w:val="00EB5CEC"/>
    <w:rsid w:val="00EC19C2"/>
    <w:rsid w:val="00EC280F"/>
    <w:rsid w:val="00EE39BA"/>
    <w:rsid w:val="00EF6835"/>
    <w:rsid w:val="00F11651"/>
    <w:rsid w:val="00F11A9F"/>
    <w:rsid w:val="00F12B41"/>
    <w:rsid w:val="00F170A5"/>
    <w:rsid w:val="00F2117D"/>
    <w:rsid w:val="00F22B4E"/>
    <w:rsid w:val="00F23469"/>
    <w:rsid w:val="00F436F8"/>
    <w:rsid w:val="00F4410B"/>
    <w:rsid w:val="00F76257"/>
    <w:rsid w:val="00F8721D"/>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0A35F"/>
  <w15:docId w15:val="{706197D2-C9EA-4BF4-BFB7-4A4DC0BF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08C2"/>
    <w:pPr>
      <w:spacing w:after="120"/>
    </w:pPr>
    <w:rPr>
      <w:rFonts w:ascii="Arial" w:hAnsi="Arial"/>
    </w:rPr>
  </w:style>
  <w:style w:type="paragraph" w:styleId="Heading1">
    <w:name w:val="heading 1"/>
    <w:basedOn w:val="Normal"/>
    <w:next w:val="Normal"/>
    <w:link w:val="Heading1Char"/>
    <w:qFormat/>
    <w:rsid w:val="004126BB"/>
    <w:pPr>
      <w:spacing w:before="100" w:after="100"/>
      <w:outlineLvl w:val="0"/>
    </w:pPr>
    <w:rPr>
      <w:rFonts w:eastAsiaTheme="majorEastAsia"/>
      <w:b/>
      <w:bCs/>
      <w:color w:val="000000" w:themeColor="text1"/>
      <w:sz w:val="36"/>
      <w:szCs w:val="28"/>
    </w:rPr>
  </w:style>
  <w:style w:type="paragraph" w:styleId="Heading2">
    <w:name w:val="heading 2"/>
    <w:basedOn w:val="Normal"/>
    <w:next w:val="Normal"/>
    <w:link w:val="Heading2Char"/>
    <w:unhideWhenUsed/>
    <w:qFormat/>
    <w:rsid w:val="009A2DAF"/>
    <w:pPr>
      <w:spacing w:before="100" w:after="100"/>
      <w:outlineLvl w:val="1"/>
    </w:pPr>
    <w:rPr>
      <w:rFonts w:eastAsiaTheme="majorEastAsia"/>
      <w:b/>
      <w:bCs/>
      <w:color w:val="000000" w:themeColor="text1"/>
      <w:szCs w:val="26"/>
    </w:rPr>
  </w:style>
  <w:style w:type="paragraph" w:styleId="Heading3">
    <w:name w:val="heading 3"/>
    <w:basedOn w:val="Normal"/>
    <w:next w:val="Normal"/>
    <w:link w:val="Heading3Char"/>
    <w:unhideWhenUsed/>
    <w:qFormat/>
    <w:rsid w:val="004126BB"/>
    <w:pPr>
      <w:spacing w:before="100" w:after="100"/>
      <w:outlineLvl w:val="2"/>
    </w:pPr>
    <w:rPr>
      <w:rFonts w:eastAsiaTheme="majorEastAsia"/>
      <w:b/>
      <w:bCs/>
      <w:color w:val="000000" w:themeColor="text1"/>
    </w:rPr>
  </w:style>
  <w:style w:type="paragraph" w:styleId="Heading4">
    <w:name w:val="heading 4"/>
    <w:basedOn w:val="Normal"/>
    <w:next w:val="Normal"/>
    <w:link w:val="Heading4Char"/>
    <w:unhideWhenUsed/>
    <w:qFormat/>
    <w:rsid w:val="004126BB"/>
    <w:pPr>
      <w:spacing w:before="100" w:after="100"/>
      <w:outlineLvl w:val="3"/>
    </w:pPr>
    <w:rPr>
      <w:rFonts w:eastAsiaTheme="majorEastAsia"/>
      <w:b/>
      <w:bCs/>
      <w:iCs/>
      <w:color w:val="000000" w:themeColor="text1"/>
    </w:rPr>
  </w:style>
  <w:style w:type="paragraph" w:styleId="Heading5">
    <w:name w:val="heading 5"/>
    <w:basedOn w:val="Normal"/>
    <w:next w:val="Normal"/>
    <w:link w:val="Heading5Char"/>
    <w:unhideWhenUsed/>
    <w:qFormat/>
    <w:rsid w:val="009A2DAF"/>
    <w:pPr>
      <w:keepNext/>
      <w:keepLines/>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spacing w:beforeAutospacing="1" w:afterAutospacing="1"/>
    </w:pPr>
    <w:rPr>
      <w:rFonts w:ascii="Times New Roman" w:hAnsi="Times New Roman"/>
      <w:sz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pPr>
      <w:spacing w:after="0"/>
    </w:pPr>
  </w:style>
  <w:style w:type="paragraph" w:customStyle="1" w:styleId="DefinitionList">
    <w:name w:val="Definition List"/>
    <w:basedOn w:val="Normal"/>
    <w:next w:val="DefinitionTerm"/>
    <w:pPr>
      <w:spacing w:after="0"/>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rPr>
  </w:style>
  <w:style w:type="paragraph" w:customStyle="1" w:styleId="H6">
    <w:name w:val="H6"/>
    <w:basedOn w:val="Normal"/>
    <w:next w:val="Normal"/>
    <w:pPr>
      <w:outlineLvl w:val="6"/>
    </w:pPr>
    <w:rPr>
      <w:b/>
      <w:sz w:val="16"/>
    </w:rPr>
  </w:style>
  <w:style w:type="paragraph" w:customStyle="1" w:styleId="Address">
    <w:name w:val="Address"/>
    <w:basedOn w:val="Normal"/>
    <w:next w:val="Normal"/>
    <w:pPr>
      <w:spacing w:after="0"/>
    </w:pPr>
    <w:rPr>
      <w:i/>
    </w:rPr>
  </w:style>
  <w:style w:type="paragraph" w:customStyle="1" w:styleId="Blockquote">
    <w:name w:val="Blockquote"/>
    <w:basedOn w:val="Normal"/>
    <w:uiPriority w:val="99"/>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hAnsi="Courier New"/>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pPr>
      <w:spacing w:after="0"/>
    </w:pPr>
    <w:rPr>
      <w:rFonts w:ascii="Calibri" w:eastAsia="Calibri" w:hAnsi="Calibri"/>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9A2DAF"/>
    <w:rPr>
      <w:rFonts w:ascii="Arial" w:eastAsiaTheme="majorEastAsia" w:hAnsi="Arial"/>
      <w:b/>
      <w:bCs/>
      <w:color w:val="000000" w:themeColor="text1"/>
      <w:szCs w:val="26"/>
    </w:rPr>
  </w:style>
  <w:style w:type="character" w:customStyle="1" w:styleId="Heading1Char">
    <w:name w:val="Heading 1 Char"/>
    <w:basedOn w:val="DefaultParagraphFont"/>
    <w:link w:val="Heading1"/>
    <w:rsid w:val="004126BB"/>
    <w:rPr>
      <w:rFonts w:ascii="Arial" w:eastAsiaTheme="majorEastAsia" w:hAnsi="Arial"/>
      <w:b/>
      <w:bCs/>
      <w:color w:val="000000" w:themeColor="text1"/>
      <w:sz w:val="36"/>
      <w:szCs w:val="28"/>
    </w:rPr>
  </w:style>
  <w:style w:type="character" w:customStyle="1" w:styleId="Heading3Char">
    <w:name w:val="Heading 3 Char"/>
    <w:basedOn w:val="DefaultParagraphFont"/>
    <w:link w:val="Heading3"/>
    <w:rsid w:val="004126BB"/>
    <w:rPr>
      <w:rFonts w:ascii="Arial" w:eastAsiaTheme="majorEastAsia" w:hAnsi="Arial"/>
      <w:b/>
      <w:bCs/>
      <w:color w:val="000000" w:themeColor="text1"/>
      <w:szCs w:val="24"/>
    </w:rPr>
  </w:style>
  <w:style w:type="character" w:customStyle="1" w:styleId="Heading4Char">
    <w:name w:val="Heading 4 Char"/>
    <w:basedOn w:val="DefaultParagraphFont"/>
    <w:link w:val="Heading4"/>
    <w:rsid w:val="004126BB"/>
    <w:rPr>
      <w:rFonts w:ascii="Arial" w:eastAsiaTheme="majorEastAsia" w:hAnsi="Arial"/>
      <w:b/>
      <w:bCs/>
      <w:iCs/>
      <w:color w:val="000000" w:themeColor="text1"/>
      <w:szCs w:val="24"/>
    </w:rPr>
  </w:style>
  <w:style w:type="paragraph" w:styleId="List">
    <w:name w:val="List"/>
    <w:basedOn w:val="Normal"/>
    <w:unhideWhenUsed/>
    <w:rsid w:val="00214BB7"/>
    <w:pPr>
      <w:spacing w:before="120"/>
    </w:pPr>
  </w:style>
  <w:style w:type="paragraph" w:styleId="List2">
    <w:name w:val="List 2"/>
    <w:basedOn w:val="Normal"/>
    <w:unhideWhenUsed/>
    <w:rsid w:val="004126BB"/>
    <w:pPr>
      <w:spacing w:before="120" w:after="100"/>
      <w:ind w:left="360"/>
    </w:pPr>
    <w:rPr>
      <w:color w:val="000000" w:themeColor="text1"/>
    </w:rPr>
  </w:style>
  <w:style w:type="paragraph" w:styleId="List3">
    <w:name w:val="List 3"/>
    <w:basedOn w:val="Normal"/>
    <w:link w:val="List3Char"/>
    <w:unhideWhenUsed/>
    <w:qFormat/>
    <w:rsid w:val="00F11A9F"/>
    <w:pPr>
      <w:spacing w:before="120"/>
      <w:ind w:left="720"/>
    </w:pPr>
  </w:style>
  <w:style w:type="paragraph" w:styleId="List4">
    <w:name w:val="List 4"/>
    <w:basedOn w:val="Normal"/>
    <w:rsid w:val="00195EAD"/>
    <w:pPr>
      <w:spacing w:before="120"/>
      <w:ind w:left="1080"/>
    </w:pPr>
  </w:style>
  <w:style w:type="paragraph" w:customStyle="1" w:styleId="List1">
    <w:name w:val="List 1"/>
    <w:basedOn w:val="List3"/>
    <w:link w:val="List1Char"/>
    <w:qFormat/>
    <w:rsid w:val="004126BB"/>
    <w:pPr>
      <w:spacing w:after="100"/>
      <w:ind w:left="0"/>
    </w:pPr>
    <w:rPr>
      <w:rFonts w:cs="Arial"/>
      <w:color w:val="000000" w:themeColor="text1"/>
    </w:rPr>
  </w:style>
  <w:style w:type="character" w:customStyle="1" w:styleId="List3Char">
    <w:name w:val="List 3 Char"/>
    <w:basedOn w:val="DefaultParagraphFont"/>
    <w:link w:val="List3"/>
    <w:rsid w:val="00F11A9F"/>
    <w:rPr>
      <w:rFonts w:ascii="Arial" w:hAnsi="Arial"/>
      <w:szCs w:val="24"/>
    </w:rPr>
  </w:style>
  <w:style w:type="character" w:customStyle="1" w:styleId="List1Char">
    <w:name w:val="List 1 Char"/>
    <w:basedOn w:val="List3Char"/>
    <w:link w:val="List1"/>
    <w:rsid w:val="004126BB"/>
    <w:rPr>
      <w:rFonts w:ascii="Arial" w:hAnsi="Arial" w:cs="Arial"/>
      <w:color w:val="000000" w:themeColor="text1"/>
      <w:szCs w:val="24"/>
    </w:rPr>
  </w:style>
  <w:style w:type="paragraph" w:styleId="TOC1">
    <w:name w:val="toc 1"/>
    <w:basedOn w:val="Normal"/>
    <w:next w:val="Normal"/>
    <w:autoRedefine/>
    <w:uiPriority w:val="39"/>
    <w:unhideWhenUsed/>
    <w:rsid w:val="00B163CA"/>
    <w:rPr>
      <w:b/>
      <w:sz w:val="22"/>
    </w:rPr>
  </w:style>
  <w:style w:type="paragraph" w:styleId="TOC2">
    <w:name w:val="toc 2"/>
    <w:basedOn w:val="Normal"/>
    <w:next w:val="Normal"/>
    <w:autoRedefine/>
    <w:uiPriority w:val="39"/>
    <w:unhideWhenUsed/>
    <w:rsid w:val="00B163CA"/>
    <w:pPr>
      <w:ind w:left="220"/>
    </w:pPr>
    <w:rPr>
      <w:b/>
      <w:sz w:val="22"/>
    </w:rPr>
  </w:style>
  <w:style w:type="paragraph" w:customStyle="1" w:styleId="Style1">
    <w:name w:val="Style1"/>
    <w:basedOn w:val="Normal"/>
    <w:rsid w:val="009A2DAF"/>
    <w:pPr>
      <w:widowControl w:val="0"/>
      <w:snapToGrid w:val="0"/>
      <w:spacing w:before="100" w:after="100"/>
      <w:jc w:val="center"/>
    </w:pPr>
    <w:rPr>
      <w:rFonts w:cs="Arial"/>
      <w:b/>
      <w:bCs/>
      <w:szCs w:val="24"/>
    </w:rPr>
  </w:style>
  <w:style w:type="paragraph" w:customStyle="1" w:styleId="blockquote0">
    <w:name w:val="blockquote"/>
    <w:basedOn w:val="Normal"/>
    <w:rsid w:val="009A2DAF"/>
    <w:pPr>
      <w:snapToGrid w:val="0"/>
      <w:spacing w:before="100" w:after="100"/>
      <w:ind w:left="360" w:right="360"/>
    </w:pPr>
    <w:rPr>
      <w:szCs w:val="24"/>
    </w:rPr>
  </w:style>
  <w:style w:type="character" w:customStyle="1" w:styleId="Heading5Char">
    <w:name w:val="Heading 5 Char"/>
    <w:basedOn w:val="DefaultParagraphFont"/>
    <w:link w:val="Heading5"/>
    <w:rsid w:val="009A2DAF"/>
    <w:rPr>
      <w:rFonts w:ascii="Arial" w:eastAsiaTheme="majorEastAsia" w:hAnsi="Arial" w:cstheme="majorBidi"/>
      <w:color w:val="000000" w:themeColor="text1"/>
    </w:rPr>
  </w:style>
  <w:style w:type="paragraph" w:styleId="TOCHeading">
    <w:name w:val="TOC Heading"/>
    <w:basedOn w:val="Heading1"/>
    <w:next w:val="Normal"/>
    <w:uiPriority w:val="39"/>
    <w:unhideWhenUsed/>
    <w:qFormat/>
    <w:rsid w:val="00B163CA"/>
    <w:pPr>
      <w:keepNext/>
      <w:keepLines/>
      <w:spacing w:before="240" w:after="0" w:line="259" w:lineRule="auto"/>
      <w:outlineLvl w:val="9"/>
    </w:pPr>
    <w:rPr>
      <w:rFonts w:cstheme="majorBidi"/>
      <w:bCs w:val="0"/>
      <w:sz w:val="32"/>
      <w:szCs w:val="32"/>
    </w:rPr>
  </w:style>
  <w:style w:type="paragraph" w:styleId="TOC3">
    <w:name w:val="toc 3"/>
    <w:basedOn w:val="Normal"/>
    <w:next w:val="Normal"/>
    <w:autoRedefine/>
    <w:uiPriority w:val="39"/>
    <w:unhideWhenUsed/>
    <w:rsid w:val="00B163CA"/>
    <w:pPr>
      <w:spacing w:after="100"/>
      <w:ind w:left="400"/>
    </w:pPr>
  </w:style>
  <w:style w:type="paragraph" w:styleId="TOC4">
    <w:name w:val="toc 4"/>
    <w:basedOn w:val="Normal"/>
    <w:next w:val="Normal"/>
    <w:autoRedefine/>
    <w:uiPriority w:val="39"/>
    <w:unhideWhenUsed/>
    <w:rsid w:val="00B163CA"/>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content/part-9-contractor-qualifications" TargetMode="External"/><Relationship Id="rId18" Type="http://schemas.openxmlformats.org/officeDocument/2006/relationships/hyperlink" Target="http://www.acq.osd.mil/dpap/dars/pgi/docs/Template_for_UCA_Authorization_Requests.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quisition.gov/content/part-17-special-contracting-methods" TargetMode="External"/><Relationship Id="rId17" Type="http://schemas.openxmlformats.org/officeDocument/2006/relationships/hyperlink" Target="https://www.acquisition.gov/content/part-17-special-contracting-methods" TargetMode="External"/><Relationship Id="rId2" Type="http://schemas.openxmlformats.org/officeDocument/2006/relationships/customXml" Target="../customXml/item2.xml"/><Relationship Id="rId16" Type="http://schemas.openxmlformats.org/officeDocument/2006/relationships/hyperlink" Target="https://www.acquisition.gov/browse/index/far" TargetMode="External"/><Relationship Id="rId20" Type="http://schemas.openxmlformats.org/officeDocument/2006/relationships/hyperlink" Target="https://www.acquisition.gov/dfars/special-contracting-metho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content/part-6-competition-requirements" TargetMode="External"/><Relationship Id="rId5" Type="http://schemas.openxmlformats.org/officeDocument/2006/relationships/numbering" Target="numbering.xml"/><Relationship Id="rId15" Type="http://schemas.openxmlformats.org/officeDocument/2006/relationships/hyperlink" Target="https://www.acquisition.gov/browse/index/far" TargetMode="External"/><Relationship Id="rId10" Type="http://schemas.openxmlformats.org/officeDocument/2006/relationships/endnotes" Target="endnotes.xml"/><Relationship Id="rId19" Type="http://schemas.openxmlformats.org/officeDocument/2006/relationships/hyperlink" Target="https://www.acquisition.gov/dfarspgi/pgi-217-special-contracting-method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dfarspgi/pgi-part-217-%E2%80%93-special-contracting-methods?&amp;searchTerms=DD+1144"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695CE5-3754-4EF9-980D-FFA04F3FA0D2}">
  <ds:schemaRefs>
    <ds:schemaRef ds:uri="http://schemas.openxmlformats.org/officeDocument/2006/bibliography"/>
  </ds:schemaRefs>
</ds:datastoreItem>
</file>

<file path=customXml/itemProps2.xml><?xml version="1.0" encoding="utf-8"?>
<ds:datastoreItem xmlns:ds="http://schemas.openxmlformats.org/officeDocument/2006/customXml" ds:itemID="{4EA682B8-0D69-490D-9A5E-C70CBFD7E672}">
  <ds:schemaRefs>
    <ds:schemaRef ds:uri="http://schemas.microsoft.com/sharepoint/v3/contenttype/forms"/>
  </ds:schemaRefs>
</ds:datastoreItem>
</file>

<file path=customXml/itemProps3.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98EC160-7FFF-4667-BC65-CACAF0765D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SOFARS styles</Template>
  <TotalTime>1</TotalTime>
  <Pages>4</Pages>
  <Words>1240</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5604 - ADMINISTRATIVE MATTERS</vt:lpstr>
    </vt:vector>
  </TitlesOfParts>
  <Company>Technautics, Inc.</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5617 - SPECIAL CONTRACTING METHODS</dc:title>
  <dc:creator>Duchesne, Marian B NH-IIICIV USSOCOM SOCOM (USA)</dc:creator>
  <cp:lastModifiedBy>Duchesne, Marian B CIV USSOCOM SOCOM (USA)</cp:lastModifiedBy>
  <cp:revision>2</cp:revision>
  <cp:lastPrinted>2010-02-11T14:15:00Z</cp:lastPrinted>
  <dcterms:created xsi:type="dcterms:W3CDTF">2021-06-23T19:26:00Z</dcterms:created>
  <dcterms:modified xsi:type="dcterms:W3CDTF">2021-06-23T19:26:00Z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