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B79F9" w14:textId="77777777" w:rsidR="00E20576" w:rsidRPr="00E20576" w:rsidRDefault="00E20576" w:rsidP="00E20576">
      <w:pPr>
        <w:pStyle w:val="Heading1"/>
        <w:rPr>
          <w:rFonts w:ascii="Arial" w:hAnsi="Arial" w:cs="Arial"/>
          <w:sz w:val="22"/>
        </w:rPr>
      </w:pPr>
      <w:bookmarkStart w:id="0" w:name="_Toc75355145"/>
      <w:r w:rsidRPr="00E20576">
        <w:rPr>
          <w:rFonts w:ascii="Arial" w:hAnsi="Arial" w:cs="Arial"/>
        </w:rPr>
        <w:t>SOFARS PART 5619</w:t>
      </w:r>
      <w:r w:rsidRPr="00E20576">
        <w:rPr>
          <w:rFonts w:ascii="Arial" w:hAnsi="Arial" w:cs="Arial"/>
        </w:rPr>
        <w:br/>
        <w:t>SMALL BUSINESS AND SMALL DISADVANTAGED BUSINESS CONCERNS</w:t>
      </w:r>
      <w:bookmarkEnd w:id="0"/>
    </w:p>
    <w:p w14:paraId="4B6314BB" w14:textId="36B917E3" w:rsidR="00E20576" w:rsidRDefault="00E20576" w:rsidP="00E20576">
      <w:pPr>
        <w:rPr>
          <w:rFonts w:ascii="Arial" w:hAnsi="Arial" w:cs="Arial"/>
          <w:sz w:val="22"/>
        </w:rPr>
      </w:pPr>
    </w:p>
    <w:sdt>
      <w:sdtPr>
        <w:id w:val="480589158"/>
        <w:docPartObj>
          <w:docPartGallery w:val="Table of Contents"/>
          <w:docPartUnique/>
        </w:docPartObj>
      </w:sdtPr>
      <w:sdtEndPr>
        <w:rPr>
          <w:rFonts w:ascii="Times New Roman" w:eastAsia="Times New Roman" w:hAnsi="Times New Roman" w:cs="Times New Roman"/>
          <w:bCs/>
          <w:noProof/>
          <w:color w:val="auto"/>
          <w:sz w:val="24"/>
          <w:szCs w:val="20"/>
        </w:rPr>
      </w:sdtEndPr>
      <w:sdtContent>
        <w:p w14:paraId="4AFA0219" w14:textId="21F15976" w:rsidR="00B6082E" w:rsidRDefault="00B6082E">
          <w:pPr>
            <w:pStyle w:val="TOCHeading"/>
          </w:pPr>
          <w:r>
            <w:t>Table of Contents</w:t>
          </w:r>
        </w:p>
        <w:p w14:paraId="44686420" w14:textId="6B929E25" w:rsidR="00B6082E" w:rsidRDefault="00B6082E">
          <w:pPr>
            <w:pStyle w:val="TOC1"/>
            <w:tabs>
              <w:tab w:val="right" w:leader="dot" w:pos="10214"/>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355145" w:history="1">
            <w:r w:rsidRPr="00F023BA">
              <w:rPr>
                <w:rStyle w:val="Hyperlink"/>
                <w:rFonts w:cs="Arial"/>
                <w:noProof/>
              </w:rPr>
              <w:t>SOFARS PART 5619 SMALL BUSINESS AND SMALL DISADVANTAGED BUSINESS CONCERNS</w:t>
            </w:r>
          </w:hyperlink>
        </w:p>
        <w:p w14:paraId="73D5F1BE" w14:textId="489E54CF" w:rsidR="00B6082E" w:rsidRDefault="00B6082E">
          <w:pPr>
            <w:pStyle w:val="TOC2"/>
            <w:tabs>
              <w:tab w:val="right" w:leader="dot" w:pos="10214"/>
            </w:tabs>
            <w:rPr>
              <w:rFonts w:asciiTheme="minorHAnsi" w:eastAsiaTheme="minorEastAsia" w:hAnsiTheme="minorHAnsi" w:cstheme="minorBidi"/>
              <w:b w:val="0"/>
              <w:noProof/>
              <w:szCs w:val="22"/>
            </w:rPr>
          </w:pPr>
          <w:hyperlink w:anchor="_Toc75355146" w:history="1">
            <w:r w:rsidRPr="00F023BA">
              <w:rPr>
                <w:rStyle w:val="Hyperlink"/>
                <w:noProof/>
              </w:rPr>
              <w:t>SUBPART 5619.2 – POLICIES (DCG)</w:t>
            </w:r>
          </w:hyperlink>
        </w:p>
        <w:p w14:paraId="71A80938" w14:textId="11218BAC" w:rsidR="00B6082E" w:rsidRDefault="00B6082E">
          <w:pPr>
            <w:pStyle w:val="TOC3"/>
            <w:tabs>
              <w:tab w:val="right" w:leader="dot" w:pos="10214"/>
            </w:tabs>
            <w:rPr>
              <w:rFonts w:asciiTheme="minorHAnsi" w:eastAsiaTheme="minorEastAsia" w:hAnsiTheme="minorHAnsi" w:cstheme="minorBidi"/>
              <w:noProof/>
              <w:szCs w:val="22"/>
            </w:rPr>
          </w:pPr>
          <w:hyperlink w:anchor="_Toc75355147" w:history="1">
            <w:r w:rsidRPr="00F023BA">
              <w:rPr>
                <w:rStyle w:val="Hyperlink"/>
                <w:noProof/>
              </w:rPr>
              <w:t>SUBPART 5619.201 General Policy.</w:t>
            </w:r>
          </w:hyperlink>
        </w:p>
        <w:p w14:paraId="5676ABA5" w14:textId="18D4D587" w:rsidR="00B6082E" w:rsidRDefault="00B6082E">
          <w:pPr>
            <w:pStyle w:val="TOC2"/>
            <w:tabs>
              <w:tab w:val="right" w:leader="dot" w:pos="10214"/>
            </w:tabs>
            <w:rPr>
              <w:rFonts w:asciiTheme="minorHAnsi" w:eastAsiaTheme="minorEastAsia" w:hAnsiTheme="minorHAnsi" w:cstheme="minorBidi"/>
              <w:b w:val="0"/>
              <w:noProof/>
              <w:szCs w:val="22"/>
            </w:rPr>
          </w:pPr>
          <w:hyperlink w:anchor="_Toc75355148" w:history="1">
            <w:r w:rsidRPr="00F023BA">
              <w:rPr>
                <w:rStyle w:val="Hyperlink"/>
                <w:noProof/>
              </w:rPr>
              <w:t>SUBPART 5619.7 – THE SMALL BUSINESS SUBCONTRACTING PROGRAM</w:t>
            </w:r>
          </w:hyperlink>
        </w:p>
        <w:p w14:paraId="21A3ADFD" w14:textId="64E431B1" w:rsidR="00B6082E" w:rsidRDefault="00B6082E">
          <w:pPr>
            <w:pStyle w:val="TOC3"/>
            <w:tabs>
              <w:tab w:val="right" w:leader="dot" w:pos="10214"/>
            </w:tabs>
            <w:rPr>
              <w:rFonts w:asciiTheme="minorHAnsi" w:eastAsiaTheme="minorEastAsia" w:hAnsiTheme="minorHAnsi" w:cstheme="minorBidi"/>
              <w:noProof/>
              <w:szCs w:val="22"/>
            </w:rPr>
          </w:pPr>
          <w:hyperlink w:anchor="_Toc75355149" w:history="1">
            <w:r w:rsidRPr="00F023BA">
              <w:rPr>
                <w:rStyle w:val="Hyperlink"/>
                <w:noProof/>
              </w:rPr>
              <w:t>5619.705 Responsibilities of the Contracting Officer Under the Subcontract Assistance Program.</w:t>
            </w:r>
          </w:hyperlink>
        </w:p>
        <w:p w14:paraId="1F567C9B" w14:textId="1438D33A" w:rsidR="00B6082E" w:rsidRDefault="00B6082E">
          <w:pPr>
            <w:pStyle w:val="TOC4"/>
            <w:tabs>
              <w:tab w:val="right" w:leader="dot" w:pos="10214"/>
            </w:tabs>
            <w:rPr>
              <w:rFonts w:asciiTheme="minorHAnsi" w:eastAsiaTheme="minorEastAsia" w:hAnsiTheme="minorHAnsi" w:cstheme="minorBidi"/>
              <w:noProof/>
              <w:szCs w:val="22"/>
            </w:rPr>
          </w:pPr>
          <w:hyperlink w:anchor="_Toc75355150" w:history="1">
            <w:r w:rsidRPr="00F023BA">
              <w:rPr>
                <w:rStyle w:val="Hyperlink"/>
                <w:noProof/>
              </w:rPr>
              <w:t>5619.705-3 Preparing the Solicitation.</w:t>
            </w:r>
          </w:hyperlink>
        </w:p>
        <w:p w14:paraId="53F71AE7" w14:textId="643FDC32" w:rsidR="00B6082E" w:rsidRDefault="00B6082E">
          <w:pPr>
            <w:pStyle w:val="TOC4"/>
            <w:tabs>
              <w:tab w:val="right" w:leader="dot" w:pos="10214"/>
            </w:tabs>
            <w:rPr>
              <w:rFonts w:asciiTheme="minorHAnsi" w:eastAsiaTheme="minorEastAsia" w:hAnsiTheme="minorHAnsi" w:cstheme="minorBidi"/>
              <w:noProof/>
              <w:szCs w:val="22"/>
            </w:rPr>
          </w:pPr>
          <w:hyperlink w:anchor="_Toc75355151" w:history="1">
            <w:r w:rsidRPr="00F023BA">
              <w:rPr>
                <w:rStyle w:val="Hyperlink"/>
                <w:noProof/>
              </w:rPr>
              <w:t>5619.705-4 Reviewing the Subcontract Plan.</w:t>
            </w:r>
          </w:hyperlink>
        </w:p>
        <w:p w14:paraId="742F59D0" w14:textId="49CFEC87" w:rsidR="00B6082E" w:rsidRDefault="00B6082E">
          <w:r>
            <w:rPr>
              <w:rFonts w:ascii="Arial" w:hAnsi="Arial"/>
              <w:b/>
              <w:sz w:val="22"/>
            </w:rPr>
            <w:fldChar w:fldCharType="end"/>
          </w:r>
        </w:p>
      </w:sdtContent>
    </w:sdt>
    <w:p w14:paraId="36A96CCE" w14:textId="77777777" w:rsidR="00B6082E" w:rsidRPr="00E20576" w:rsidRDefault="00B6082E" w:rsidP="00E20576">
      <w:pPr>
        <w:rPr>
          <w:rFonts w:ascii="Arial" w:hAnsi="Arial" w:cs="Arial"/>
          <w:sz w:val="22"/>
        </w:rPr>
      </w:pPr>
    </w:p>
    <w:p w14:paraId="331F2A84" w14:textId="3BFDAE01" w:rsidR="00E20576" w:rsidRPr="00E20576" w:rsidRDefault="00E20576" w:rsidP="00E20576">
      <w:pPr>
        <w:pStyle w:val="Heading2"/>
      </w:pPr>
      <w:bookmarkStart w:id="1" w:name="BM2"/>
      <w:bookmarkStart w:id="2" w:name="_Toc75355146"/>
      <w:bookmarkEnd w:id="1"/>
      <w:r w:rsidRPr="00E20576">
        <w:t>SUBPART 5619.2 – POLICIES</w:t>
      </w:r>
      <w:bookmarkEnd w:id="2"/>
    </w:p>
    <w:p w14:paraId="4DAEE8F6" w14:textId="77777777" w:rsidR="00E20576" w:rsidRPr="00E20576" w:rsidRDefault="00E20576" w:rsidP="00E20576">
      <w:pPr>
        <w:pStyle w:val="Heading3"/>
      </w:pPr>
      <w:bookmarkStart w:id="3" w:name="BM19_201"/>
      <w:bookmarkStart w:id="4" w:name="_Toc75355147"/>
      <w:bookmarkEnd w:id="3"/>
      <w:r w:rsidRPr="00E20576">
        <w:t>SUBPART 5619.201 General Policy.</w:t>
      </w:r>
      <w:bookmarkEnd w:id="4"/>
    </w:p>
    <w:p w14:paraId="4A2C0B7F" w14:textId="77777777" w:rsidR="00E20576" w:rsidRPr="00E20576" w:rsidRDefault="00E20576" w:rsidP="00E20576">
      <w:pPr>
        <w:rPr>
          <w:rFonts w:ascii="Arial" w:hAnsi="Arial" w:cs="Arial"/>
          <w:i/>
          <w:sz w:val="20"/>
        </w:rPr>
      </w:pPr>
      <w:r w:rsidRPr="00E20576">
        <w:rPr>
          <w:rFonts w:ascii="Arial" w:hAnsi="Arial" w:cs="Arial"/>
          <w:i/>
          <w:sz w:val="20"/>
        </w:rPr>
        <w:t xml:space="preserve"> (Revised October 2010)</w:t>
      </w:r>
    </w:p>
    <w:p w14:paraId="16C1D0B8" w14:textId="77777777" w:rsidR="00E20576" w:rsidRPr="00E20576" w:rsidRDefault="00E20576" w:rsidP="00E20576">
      <w:pPr>
        <w:pStyle w:val="List1"/>
      </w:pPr>
      <w:r w:rsidRPr="00E20576">
        <w:t>(d)(10)(1) The Small Business Coordination Record (DD 2579) shall be completed by the contract specialist and reviewed by the Small Business Specialist on all acquisitions (including Federal Supply Schedule orders) over $10,000, except those under the simplified acquisition threshold that are totally set aside for small business concerns.</w:t>
      </w:r>
    </w:p>
    <w:p w14:paraId="2470E48F" w14:textId="77777777" w:rsidR="00E20576" w:rsidRPr="00E20576" w:rsidRDefault="007B74EB" w:rsidP="007B74EB">
      <w:pPr>
        <w:pStyle w:val="List3"/>
      </w:pPr>
      <w:r w:rsidRPr="00E20576">
        <w:t>(2)</w:t>
      </w:r>
      <w:r w:rsidRPr="00E20576">
        <w:tab/>
      </w:r>
      <w:r w:rsidR="00E20576" w:rsidRPr="00E20576">
        <w:t>Reserved.</w:t>
      </w:r>
    </w:p>
    <w:p w14:paraId="19FD00E4" w14:textId="13686F72" w:rsidR="00E20576" w:rsidRPr="00E20576" w:rsidRDefault="007B74EB" w:rsidP="007B74EB">
      <w:pPr>
        <w:pStyle w:val="List3"/>
      </w:pPr>
      <w:r w:rsidRPr="00E20576">
        <w:t>(3)</w:t>
      </w:r>
      <w:r w:rsidRPr="00E20576">
        <w:tab/>
      </w:r>
      <w:r w:rsidR="00E20576" w:rsidRPr="00E20576">
        <w:t xml:space="preserve">Attach the </w:t>
      </w:r>
      <w:r w:rsidR="00E20576" w:rsidRPr="000C4D7F">
        <w:t>Market Research Report</w:t>
      </w:r>
      <w:r w:rsidR="00E20576" w:rsidRPr="00E20576">
        <w:t xml:space="preserve"> (see DCG) to the Small Business Coordination Record (DD 2579) when submitting the DD 2579 for approval of acquisitions above the simplified acquisition threshold. Market research policies are located in </w:t>
      </w:r>
      <w:hyperlink r:id="rId11" w:history="1">
        <w:r w:rsidR="00E20576" w:rsidRPr="00E20576">
          <w:rPr>
            <w:rStyle w:val="Hyperlink"/>
          </w:rPr>
          <w:t>FAR</w:t>
        </w:r>
      </w:hyperlink>
      <w:r w:rsidR="00E20576" w:rsidRPr="00E20576">
        <w:t xml:space="preserve">, </w:t>
      </w:r>
      <w:hyperlink r:id="rId12" w:history="1">
        <w:r w:rsidR="00E20576" w:rsidRPr="00E20576">
          <w:rPr>
            <w:rStyle w:val="Hyperlink"/>
          </w:rPr>
          <w:t>DFARS</w:t>
        </w:r>
      </w:hyperlink>
      <w:r w:rsidR="00E20576" w:rsidRPr="00E20576">
        <w:t xml:space="preserve">, and </w:t>
      </w:r>
      <w:hyperlink r:id="rId13" w:history="1">
        <w:r w:rsidR="00E20576" w:rsidRPr="00E20576">
          <w:rPr>
            <w:rStyle w:val="Hyperlink"/>
          </w:rPr>
          <w:t>SOFARS Part 10</w:t>
        </w:r>
      </w:hyperlink>
      <w:r w:rsidR="00E20576" w:rsidRPr="00E20576">
        <w:t>.</w:t>
      </w:r>
    </w:p>
    <w:p w14:paraId="1A17F47C" w14:textId="77777777" w:rsidR="00E20576" w:rsidRPr="00E20576" w:rsidRDefault="00E20576" w:rsidP="00E20576">
      <w:pPr>
        <w:pStyle w:val="Heading2"/>
      </w:pPr>
      <w:bookmarkStart w:id="5" w:name="_Toc75355148"/>
      <w:r w:rsidRPr="00E20576">
        <w:t>SUBPART 5619.7 – THE SMALL BUSINESS SUBCONTRACTING PROGRAM</w:t>
      </w:r>
      <w:bookmarkEnd w:id="5"/>
    </w:p>
    <w:p w14:paraId="240B01BB" w14:textId="77777777" w:rsidR="00E20576" w:rsidRPr="00E20576" w:rsidRDefault="00E20576" w:rsidP="00E20576">
      <w:pPr>
        <w:rPr>
          <w:rFonts w:ascii="Arial" w:hAnsi="Arial" w:cs="Arial"/>
          <w:i/>
          <w:sz w:val="20"/>
        </w:rPr>
      </w:pPr>
      <w:r w:rsidRPr="00E20576">
        <w:rPr>
          <w:rFonts w:ascii="Arial" w:hAnsi="Arial" w:cs="Arial"/>
          <w:i/>
          <w:sz w:val="20"/>
        </w:rPr>
        <w:t>(Added January 2009)</w:t>
      </w:r>
    </w:p>
    <w:p w14:paraId="554E1DC0" w14:textId="77777777" w:rsidR="00E20576" w:rsidRPr="00E20576" w:rsidRDefault="00E20576" w:rsidP="00E20576">
      <w:pPr>
        <w:pStyle w:val="Heading3"/>
      </w:pPr>
      <w:bookmarkStart w:id="6" w:name="_Toc75355149"/>
      <w:r w:rsidRPr="00E20576">
        <w:t>5619.705 Responsibilities of the Contracting Officer Under the Subcontract Assistance Program.</w:t>
      </w:r>
      <w:bookmarkEnd w:id="6"/>
    </w:p>
    <w:p w14:paraId="30D83F25" w14:textId="77777777" w:rsidR="00E20576" w:rsidRPr="00E20576" w:rsidRDefault="00E20576" w:rsidP="00E20576">
      <w:pPr>
        <w:pStyle w:val="Heading4"/>
      </w:pPr>
      <w:bookmarkStart w:id="7" w:name="_Toc75355150"/>
      <w:r w:rsidRPr="00E20576">
        <w:t>5619.705-3 Preparing the Solicitation.</w:t>
      </w:r>
      <w:bookmarkEnd w:id="7"/>
    </w:p>
    <w:p w14:paraId="72FB3399" w14:textId="77777777" w:rsidR="00E20576" w:rsidRPr="00E20576" w:rsidRDefault="00E20576" w:rsidP="00E20576">
      <w:pPr>
        <w:rPr>
          <w:rFonts w:ascii="Arial" w:hAnsi="Arial" w:cs="Arial"/>
          <w:i/>
          <w:sz w:val="20"/>
        </w:rPr>
      </w:pPr>
      <w:r w:rsidRPr="00E20576">
        <w:rPr>
          <w:rFonts w:ascii="Arial" w:hAnsi="Arial" w:cs="Arial"/>
          <w:i/>
          <w:sz w:val="20"/>
        </w:rPr>
        <w:t>(Revised January 2018)</w:t>
      </w:r>
    </w:p>
    <w:p w14:paraId="29F76786" w14:textId="77777777" w:rsidR="00E20576" w:rsidRPr="00E20576" w:rsidRDefault="00E20576" w:rsidP="00E20576">
      <w:pPr>
        <w:rPr>
          <w:rFonts w:ascii="Arial" w:hAnsi="Arial" w:cs="Arial"/>
          <w:sz w:val="20"/>
        </w:rPr>
      </w:pPr>
      <w:r w:rsidRPr="00E20576">
        <w:rPr>
          <w:rFonts w:ascii="Arial" w:hAnsi="Arial" w:cs="Arial"/>
          <w:sz w:val="20"/>
        </w:rPr>
        <w:t xml:space="preserve">The contracting officer shall provide the small business specialist five (5) business days prior to issuing the solicitation. The small business specialist will forward the solicitation to the PCR.  After five business days have elapsed without input from the small business specialist or PCR, the contracting officer may proceed with release of the solicitation. </w:t>
      </w:r>
    </w:p>
    <w:p w14:paraId="134B4BBC" w14:textId="77777777" w:rsidR="00E20576" w:rsidRPr="00E20576" w:rsidRDefault="00E20576" w:rsidP="00E20576">
      <w:pPr>
        <w:pStyle w:val="Heading4"/>
      </w:pPr>
      <w:bookmarkStart w:id="8" w:name="BM19_7053"/>
      <w:bookmarkStart w:id="9" w:name="BM19_7054"/>
      <w:bookmarkStart w:id="10" w:name="_Toc75355151"/>
      <w:bookmarkEnd w:id="8"/>
      <w:bookmarkEnd w:id="9"/>
      <w:r w:rsidRPr="00E20576">
        <w:t>5619.705-4 Reviewing the Subcontract Plan.</w:t>
      </w:r>
      <w:bookmarkEnd w:id="10"/>
    </w:p>
    <w:p w14:paraId="4AA52CC9" w14:textId="77777777" w:rsidR="00E20576" w:rsidRPr="00E20576" w:rsidRDefault="00E20576" w:rsidP="00E20576">
      <w:pPr>
        <w:pStyle w:val="List1"/>
      </w:pPr>
      <w:r w:rsidRPr="00E20576">
        <w:t>(d)  All subcontracting plans that contain a Small Disadvantage Business goal of less than 5% must be approved one level above the contracting officer. If the primary contracting officer is also the office/division chief, then forward the subcontracting plan to the command’s Director of Small Business Programs for approval.</w:t>
      </w:r>
    </w:p>
    <w:p w14:paraId="3DB3EB6B" w14:textId="77777777" w:rsidR="00E20576" w:rsidRPr="00E20576" w:rsidRDefault="00E20576" w:rsidP="00E20576">
      <w:pPr>
        <w:rPr>
          <w:rFonts w:ascii="Arial" w:hAnsi="Arial" w:cs="Arial"/>
          <w:sz w:val="20"/>
        </w:rPr>
      </w:pPr>
      <w:bookmarkStart w:id="11" w:name="BM8"/>
      <w:bookmarkEnd w:id="11"/>
    </w:p>
    <w:p w14:paraId="3A5B3DE4" w14:textId="77777777" w:rsidR="00E20576" w:rsidRPr="00E20576" w:rsidRDefault="00E20576" w:rsidP="00E20576">
      <w:pPr>
        <w:pStyle w:val="BodyText2"/>
        <w:spacing w:before="0" w:after="0"/>
        <w:rPr>
          <w:sz w:val="20"/>
        </w:rPr>
      </w:pPr>
      <w:r w:rsidRPr="00E20576">
        <w:rPr>
          <w:sz w:val="20"/>
        </w:rPr>
        <w:t>HQ, United States Special Operations Command</w:t>
      </w:r>
      <w:r w:rsidRPr="00E20576">
        <w:rPr>
          <w:sz w:val="20"/>
        </w:rPr>
        <w:br/>
        <w:t>Special Operations Forces Acquisition, Technology, and Logistics (SOF AT&amp;L-K)</w:t>
      </w:r>
    </w:p>
    <w:p w14:paraId="59621B62" w14:textId="77777777" w:rsidR="00E20576" w:rsidRPr="00E20576" w:rsidRDefault="00E20576" w:rsidP="00E20576">
      <w:pPr>
        <w:spacing w:before="0" w:after="0"/>
        <w:rPr>
          <w:rFonts w:ascii="Arial" w:hAnsi="Arial" w:cs="Arial"/>
          <w:sz w:val="20"/>
        </w:rPr>
      </w:pPr>
      <w:r w:rsidRPr="00E20576">
        <w:rPr>
          <w:rFonts w:ascii="Arial" w:hAnsi="Arial" w:cs="Arial"/>
          <w:sz w:val="20"/>
        </w:rPr>
        <w:lastRenderedPageBreak/>
        <w:t>SOFARS 5619</w:t>
      </w:r>
    </w:p>
    <w:p w14:paraId="23C16A5A" w14:textId="77777777" w:rsidR="00E20576" w:rsidRPr="00E20576" w:rsidRDefault="00E20576" w:rsidP="00E20576">
      <w:pPr>
        <w:spacing w:before="0" w:after="0"/>
        <w:rPr>
          <w:rFonts w:ascii="Arial" w:hAnsi="Arial" w:cs="Arial"/>
          <w:sz w:val="20"/>
        </w:rPr>
      </w:pPr>
      <w:r w:rsidRPr="00E20576">
        <w:rPr>
          <w:rFonts w:ascii="Arial" w:hAnsi="Arial" w:cs="Arial"/>
          <w:sz w:val="20"/>
        </w:rPr>
        <w:t>February 2007</w:t>
      </w:r>
    </w:p>
    <w:p w14:paraId="4E19B9D0" w14:textId="77777777" w:rsidR="007059C1" w:rsidRPr="00E20576" w:rsidRDefault="007059C1" w:rsidP="00BE196B">
      <w:pPr>
        <w:rPr>
          <w:rFonts w:ascii="Arial" w:hAnsi="Arial" w:cs="Arial"/>
        </w:rPr>
      </w:pPr>
    </w:p>
    <w:sectPr w:rsidR="007059C1" w:rsidRPr="00E20576">
      <w:pgSz w:w="12240" w:h="15840"/>
      <w:pgMar w:top="1440" w:right="1008" w:bottom="720" w:left="1008"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4E033" w14:textId="77777777" w:rsidR="00E20576" w:rsidRDefault="00E20576">
      <w:r>
        <w:separator/>
      </w:r>
    </w:p>
  </w:endnote>
  <w:endnote w:type="continuationSeparator" w:id="0">
    <w:p w14:paraId="3A46452C" w14:textId="77777777" w:rsidR="00E20576" w:rsidRDefault="00E2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A4677" w14:textId="77777777" w:rsidR="00E20576" w:rsidRDefault="00E20576">
      <w:r>
        <w:separator/>
      </w:r>
    </w:p>
  </w:footnote>
  <w:footnote w:type="continuationSeparator" w:id="0">
    <w:p w14:paraId="2A8C0B25" w14:textId="77777777" w:rsidR="00E20576" w:rsidRDefault="00E20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3897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0439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3EA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361E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EBA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B2CC4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98E7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A8BE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A6BC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F616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E527E3"/>
    <w:multiLevelType w:val="hybridMultilevel"/>
    <w:tmpl w:val="0E704EF0"/>
    <w:lvl w:ilvl="0" w:tplc="88046FA2">
      <w:start w:val="2"/>
      <w:numFmt w:val="decimal"/>
      <w:lvlText w:val="(%1)"/>
      <w:lvlJc w:val="left"/>
      <w:pPr>
        <w:tabs>
          <w:tab w:val="num" w:pos="900"/>
        </w:tabs>
        <w:ind w:left="54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DD6FF3"/>
    <w:multiLevelType w:val="hybridMultilevel"/>
    <w:tmpl w:val="8F040338"/>
    <w:lvl w:ilvl="0" w:tplc="BE1A9F5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3"/>
  </w:num>
  <w:num w:numId="3">
    <w:abstractNumId w:val="18"/>
  </w:num>
  <w:num w:numId="4">
    <w:abstractNumId w:val="21"/>
  </w:num>
  <w:num w:numId="5">
    <w:abstractNumId w:val="29"/>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0"/>
  </w:num>
  <w:num w:numId="19">
    <w:abstractNumId w:val="31"/>
  </w:num>
  <w:num w:numId="20">
    <w:abstractNumId w:val="10"/>
  </w:num>
  <w:num w:numId="21">
    <w:abstractNumId w:val="22"/>
  </w:num>
  <w:num w:numId="22">
    <w:abstractNumId w:val="27"/>
  </w:num>
  <w:num w:numId="23">
    <w:abstractNumId w:val="17"/>
  </w:num>
  <w:num w:numId="24">
    <w:abstractNumId w:val="16"/>
  </w:num>
  <w:num w:numId="25">
    <w:abstractNumId w:val="15"/>
  </w:num>
  <w:num w:numId="26">
    <w:abstractNumId w:val="12"/>
  </w:num>
  <w:num w:numId="27">
    <w:abstractNumId w:val="24"/>
  </w:num>
  <w:num w:numId="28">
    <w:abstractNumId w:val="11"/>
  </w:num>
  <w:num w:numId="29">
    <w:abstractNumId w:val="32"/>
  </w:num>
  <w:num w:numId="30">
    <w:abstractNumId w:val="26"/>
  </w:num>
  <w:num w:numId="31">
    <w:abstractNumId w:val="13"/>
  </w:num>
  <w:num w:numId="32">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76"/>
    <w:rsid w:val="00040798"/>
    <w:rsid w:val="00072DE6"/>
    <w:rsid w:val="000C4D7F"/>
    <w:rsid w:val="000C65F5"/>
    <w:rsid w:val="000E19AF"/>
    <w:rsid w:val="000E6E2A"/>
    <w:rsid w:val="000F5037"/>
    <w:rsid w:val="00182208"/>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61650B"/>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B74EB"/>
    <w:rsid w:val="007C1D83"/>
    <w:rsid w:val="008114E7"/>
    <w:rsid w:val="00817171"/>
    <w:rsid w:val="008921AD"/>
    <w:rsid w:val="008B3E9B"/>
    <w:rsid w:val="008C4E69"/>
    <w:rsid w:val="0091065B"/>
    <w:rsid w:val="009703A1"/>
    <w:rsid w:val="00991E52"/>
    <w:rsid w:val="009C4D36"/>
    <w:rsid w:val="00A15E6F"/>
    <w:rsid w:val="00A269A3"/>
    <w:rsid w:val="00A40B36"/>
    <w:rsid w:val="00A50C02"/>
    <w:rsid w:val="00A70C79"/>
    <w:rsid w:val="00A71E8C"/>
    <w:rsid w:val="00A84862"/>
    <w:rsid w:val="00B242FC"/>
    <w:rsid w:val="00B26F4A"/>
    <w:rsid w:val="00B30CA5"/>
    <w:rsid w:val="00B51BD8"/>
    <w:rsid w:val="00B52521"/>
    <w:rsid w:val="00B5536C"/>
    <w:rsid w:val="00B6082E"/>
    <w:rsid w:val="00B727F8"/>
    <w:rsid w:val="00BE196B"/>
    <w:rsid w:val="00C271D5"/>
    <w:rsid w:val="00C310FE"/>
    <w:rsid w:val="00C57FC4"/>
    <w:rsid w:val="00C946DE"/>
    <w:rsid w:val="00C96C49"/>
    <w:rsid w:val="00CB2806"/>
    <w:rsid w:val="00CF18B4"/>
    <w:rsid w:val="00D23DBC"/>
    <w:rsid w:val="00D50A0B"/>
    <w:rsid w:val="00D828A5"/>
    <w:rsid w:val="00DA6976"/>
    <w:rsid w:val="00DD456B"/>
    <w:rsid w:val="00E13A99"/>
    <w:rsid w:val="00E20576"/>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7FE27"/>
  <w15:docId w15:val="{E190B80D-7755-4929-8F55-1CD5C7AE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576"/>
    <w:pPr>
      <w:widowControl w:val="0"/>
      <w:snapToGrid w:val="0"/>
      <w:spacing w:before="100" w:after="100"/>
    </w:pPr>
    <w:rPr>
      <w:sz w:val="24"/>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E20576"/>
    <w:pPr>
      <w:spacing w:before="0" w:after="120"/>
      <w:outlineLvl w:val="1"/>
    </w:pPr>
    <w:rPr>
      <w:rFonts w:ascii="Arial" w:hAnsi="Arial" w:cs="Arial"/>
      <w:b/>
      <w:bCs/>
      <w:sz w:val="20"/>
      <w:szCs w:val="26"/>
    </w:rPr>
  </w:style>
  <w:style w:type="paragraph" w:styleId="Heading3">
    <w:name w:val="heading 3"/>
    <w:basedOn w:val="Normal"/>
    <w:next w:val="Normal"/>
    <w:link w:val="Heading3Char"/>
    <w:unhideWhenUsed/>
    <w:qFormat/>
    <w:rsid w:val="00E20576"/>
    <w:pPr>
      <w:spacing w:before="0" w:after="120"/>
      <w:outlineLvl w:val="2"/>
    </w:pPr>
    <w:rPr>
      <w:rFonts w:ascii="Arial" w:hAnsi="Arial" w:cs="Arial"/>
      <w:b/>
      <w:bCs/>
      <w:sz w:val="20"/>
    </w:rPr>
  </w:style>
  <w:style w:type="paragraph" w:styleId="Heading4">
    <w:name w:val="heading 4"/>
    <w:basedOn w:val="Normal"/>
    <w:next w:val="Normal"/>
    <w:link w:val="Heading4Char"/>
    <w:unhideWhenUsed/>
    <w:qFormat/>
    <w:rsid w:val="00E20576"/>
    <w:pPr>
      <w:spacing w:before="0" w:after="120"/>
      <w:outlineLvl w:val="3"/>
    </w:pPr>
    <w:rPr>
      <w:rFonts w:ascii="Arial" w:eastAsiaTheme="majorEastAsia" w:hAnsi="Arial" w:cs="Arial"/>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E20576"/>
    <w:rPr>
      <w:rFonts w:ascii="Arial"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E20576"/>
    <w:rPr>
      <w:rFonts w:ascii="Arial" w:hAnsi="Arial" w:cs="Arial"/>
      <w:b/>
      <w:bCs/>
    </w:rPr>
  </w:style>
  <w:style w:type="character" w:customStyle="1" w:styleId="Heading4Char">
    <w:name w:val="Heading 4 Char"/>
    <w:basedOn w:val="DefaultParagraphFont"/>
    <w:link w:val="Heading4"/>
    <w:rsid w:val="00E20576"/>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E20576"/>
    <w:pPr>
      <w:spacing w:before="120" w:after="120"/>
      <w:ind w:left="720"/>
    </w:pPr>
    <w:rPr>
      <w:rFonts w:ascii="Arial" w:hAnsi="Arial" w:cs="Arial"/>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E20576"/>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B6082E"/>
    <w:rPr>
      <w:rFonts w:ascii="Arial" w:hAnsi="Arial"/>
      <w:b/>
      <w:sz w:val="22"/>
    </w:rPr>
  </w:style>
  <w:style w:type="paragraph" w:styleId="TOC2">
    <w:name w:val="toc 2"/>
    <w:basedOn w:val="Normal"/>
    <w:next w:val="Normal"/>
    <w:autoRedefine/>
    <w:uiPriority w:val="39"/>
    <w:unhideWhenUsed/>
    <w:rsid w:val="00B6082E"/>
    <w:pPr>
      <w:ind w:left="220"/>
    </w:pPr>
    <w:rPr>
      <w:rFonts w:ascii="Arial" w:hAnsi="Arial"/>
      <w:b/>
      <w:sz w:val="22"/>
    </w:rPr>
  </w:style>
  <w:style w:type="paragraph" w:styleId="BodyText2">
    <w:name w:val="Body Text 2"/>
    <w:basedOn w:val="Normal"/>
    <w:link w:val="BodyText2Char"/>
    <w:rsid w:val="00E20576"/>
    <w:rPr>
      <w:rFonts w:ascii="Arial" w:hAnsi="Arial" w:cs="Arial"/>
      <w:sz w:val="22"/>
    </w:rPr>
  </w:style>
  <w:style w:type="character" w:customStyle="1" w:styleId="BodyText2Char">
    <w:name w:val="Body Text 2 Char"/>
    <w:basedOn w:val="DefaultParagraphFont"/>
    <w:link w:val="BodyText2"/>
    <w:rsid w:val="00E20576"/>
    <w:rPr>
      <w:rFonts w:ascii="Arial" w:hAnsi="Arial" w:cs="Arial"/>
      <w:sz w:val="22"/>
    </w:rPr>
  </w:style>
  <w:style w:type="paragraph" w:customStyle="1" w:styleId="Style1">
    <w:name w:val="Style1"/>
    <w:basedOn w:val="Normal"/>
    <w:rsid w:val="00E20576"/>
    <w:pPr>
      <w:jc w:val="center"/>
    </w:pPr>
    <w:rPr>
      <w:rFonts w:ascii="Arial" w:hAnsi="Arial" w:cs="Arial"/>
      <w:b/>
      <w:bCs/>
      <w:szCs w:val="24"/>
    </w:rPr>
  </w:style>
  <w:style w:type="paragraph" w:styleId="TOCHeading">
    <w:name w:val="TOC Heading"/>
    <w:basedOn w:val="Heading1"/>
    <w:next w:val="Normal"/>
    <w:uiPriority w:val="39"/>
    <w:unhideWhenUsed/>
    <w:qFormat/>
    <w:rsid w:val="00B6082E"/>
    <w:pPr>
      <w:keepNext/>
      <w:keepLines/>
      <w:widowControl/>
      <w:snapToGrid/>
      <w:spacing w:before="240" w:after="0" w:line="259" w:lineRule="auto"/>
      <w:outlineLvl w:val="9"/>
    </w:pPr>
    <w:rPr>
      <w:rFonts w:ascii="Arial" w:hAnsi="Arial" w:cstheme="majorBidi"/>
      <w:bCs w:val="0"/>
      <w:color w:val="000000" w:themeColor="text1"/>
      <w:sz w:val="32"/>
      <w:szCs w:val="32"/>
    </w:rPr>
  </w:style>
  <w:style w:type="paragraph" w:styleId="TOC3">
    <w:name w:val="toc 3"/>
    <w:basedOn w:val="Normal"/>
    <w:next w:val="Normal"/>
    <w:autoRedefine/>
    <w:uiPriority w:val="39"/>
    <w:unhideWhenUsed/>
    <w:rsid w:val="00B6082E"/>
    <w:pPr>
      <w:ind w:left="480"/>
    </w:pPr>
    <w:rPr>
      <w:rFonts w:ascii="Arial" w:hAnsi="Arial"/>
      <w:sz w:val="22"/>
    </w:rPr>
  </w:style>
  <w:style w:type="paragraph" w:styleId="TOC4">
    <w:name w:val="toc 4"/>
    <w:basedOn w:val="Normal"/>
    <w:next w:val="Normal"/>
    <w:autoRedefine/>
    <w:uiPriority w:val="39"/>
    <w:unhideWhenUsed/>
    <w:rsid w:val="00B6082E"/>
    <w:pPr>
      <w:ind w:left="720"/>
    </w:pPr>
    <w:rPr>
      <w:rFonts w:ascii="Arial" w:hAnsi="Arial"/>
      <w:sz w:val="22"/>
    </w:rPr>
  </w:style>
  <w:style w:type="paragraph" w:styleId="TOC5">
    <w:name w:val="toc 5"/>
    <w:basedOn w:val="Normal"/>
    <w:next w:val="Normal"/>
    <w:autoRedefine/>
    <w:semiHidden/>
    <w:unhideWhenUsed/>
    <w:rsid w:val="00B6082E"/>
    <w:pPr>
      <w:ind w:left="96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f.atl.socom.mil/sites/K/SOFARS_DCG/SOFARS/5610.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dfars/part-210-market-resear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10-market-research"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2.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44FD7E9-C167-492E-9353-446B85E8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SOFARS styles</Template>
  <TotalTime>1</TotalTime>
  <Pages>2</Pages>
  <Words>315</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5619 - SMALL BUSINESS AND SMALL DISADVANTAGED BUSINESS CONCERNS</vt:lpstr>
    </vt:vector>
  </TitlesOfParts>
  <Company>Technautics, Inc.</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5619 - SMALL BUSINESS AND SMALL DISADVANTAGED BUSINESS CONCERNS</dc:title>
  <dc:creator>Duchesne, Marian B NH-IIICIV USSOCOM SOCOM (USA)</dc:creator>
  <cp:lastModifiedBy>Duchesne, Marian B CIV USSOCOM SOCOM (USA)</cp:lastModifiedBy>
  <cp:revision>2</cp:revision>
  <cp:lastPrinted>2010-02-11T14:15:00Z</cp:lastPrinted>
  <dcterms:created xsi:type="dcterms:W3CDTF">2021-06-23T19:41:00Z</dcterms:created>
  <dcterms:modified xsi:type="dcterms:W3CDTF">2021-06-23T19:41:00Z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