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46B90" w14:textId="77777777" w:rsidR="00F76A2B" w:rsidRDefault="00F76A2B" w:rsidP="00F76A2B">
      <w:pPr>
        <w:rPr>
          <w:rFonts w:ascii="Arial" w:hAnsi="Arial" w:cs="Arial"/>
          <w:b/>
          <w:sz w:val="36"/>
        </w:rPr>
      </w:pPr>
    </w:p>
    <w:p w14:paraId="6DFF602E" w14:textId="77777777" w:rsidR="00F76A2B" w:rsidRPr="00F76A2B" w:rsidRDefault="00F76A2B" w:rsidP="00F76A2B">
      <w:pPr>
        <w:pStyle w:val="Heading1"/>
        <w:rPr>
          <w:rFonts w:ascii="Arial" w:hAnsi="Arial" w:cs="Arial"/>
        </w:rPr>
      </w:pPr>
      <w:bookmarkStart w:id="0" w:name="_Toc75355825"/>
      <w:bookmarkStart w:id="1" w:name="_Toc75355914"/>
      <w:r w:rsidRPr="00F76A2B">
        <w:rPr>
          <w:rFonts w:ascii="Arial" w:hAnsi="Arial" w:cs="Arial"/>
        </w:rPr>
        <w:t>SOFARS PART 5623</w:t>
      </w:r>
      <w:r w:rsidRPr="00F76A2B">
        <w:rPr>
          <w:rFonts w:ascii="Arial" w:hAnsi="Arial" w:cs="Arial"/>
        </w:rPr>
        <w:br/>
        <w:t>ENVIRONMENT, CONSERVATION, OCCUPATIONAL SAFETY, AND DRUG-FREE WORKPLACE</w:t>
      </w:r>
      <w:bookmarkEnd w:id="0"/>
      <w:bookmarkEnd w:id="1"/>
      <w:r w:rsidRPr="00F76A2B">
        <w:rPr>
          <w:rFonts w:ascii="Arial" w:hAnsi="Arial" w:cs="Arial"/>
        </w:rPr>
        <w:t xml:space="preserve"> </w:t>
      </w:r>
    </w:p>
    <w:p w14:paraId="7919C210" w14:textId="75E28BDE" w:rsidR="00F76A2B" w:rsidRDefault="00F76A2B" w:rsidP="00F76A2B">
      <w:pPr>
        <w:rPr>
          <w:rFonts w:ascii="Arial" w:hAnsi="Arial" w:cs="Arial"/>
        </w:rPr>
      </w:pPr>
    </w:p>
    <w:sdt>
      <w:sdtPr>
        <w:id w:val="1872649456"/>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1B2A4951" w14:textId="0F8FD093" w:rsidR="005536CD" w:rsidRPr="005536CD" w:rsidRDefault="005536CD" w:rsidP="005536CD">
          <w:pPr>
            <w:pStyle w:val="TOCHeading"/>
            <w:spacing w:before="120" w:after="120"/>
            <w:rPr>
              <w:rFonts w:ascii="Arial" w:hAnsi="Arial" w:cs="Arial"/>
              <w:b/>
              <w:bCs/>
              <w:color w:val="000000" w:themeColor="text1"/>
            </w:rPr>
          </w:pPr>
          <w:r w:rsidRPr="005536CD">
            <w:rPr>
              <w:rFonts w:ascii="Arial" w:hAnsi="Arial" w:cs="Arial"/>
              <w:b/>
              <w:bCs/>
              <w:color w:val="000000" w:themeColor="text1"/>
            </w:rPr>
            <w:t>Table of Contents</w:t>
          </w:r>
        </w:p>
        <w:p w14:paraId="0E9A5F86" w14:textId="77777777" w:rsidR="007D6BDE" w:rsidRDefault="005536CD" w:rsidP="007D6BDE">
          <w:pPr>
            <w:pStyle w:val="TOC1"/>
            <w:rPr>
              <w:rFonts w:asciiTheme="minorHAnsi" w:eastAsiaTheme="minorEastAsia" w:hAnsiTheme="minorHAnsi" w:cstheme="minorBidi"/>
              <w:noProof/>
              <w:szCs w:val="22"/>
            </w:rPr>
          </w:pPr>
          <w:r>
            <w:fldChar w:fldCharType="begin"/>
          </w:r>
          <w:r>
            <w:instrText xml:space="preserve"> TOC \o "1-4" \n \u </w:instrText>
          </w:r>
          <w:r>
            <w:fldChar w:fldCharType="separate"/>
          </w:r>
          <w:r w:rsidR="007D6BDE" w:rsidRPr="00446662">
            <w:rPr>
              <w:noProof/>
            </w:rPr>
            <w:t>SOFARS PART 5623 ENVIRONMENT, CONSERVATION, OCCUPATIONAL SAFETY, AND DRUG-FREE WORKPLACE</w:t>
          </w:r>
        </w:p>
        <w:p w14:paraId="534F5B44" w14:textId="77777777" w:rsidR="007D6BDE" w:rsidRDefault="007D6BDE">
          <w:pPr>
            <w:pStyle w:val="TOC2"/>
            <w:tabs>
              <w:tab w:val="right" w:leader="dot" w:pos="9350"/>
            </w:tabs>
            <w:rPr>
              <w:rFonts w:asciiTheme="minorHAnsi" w:eastAsiaTheme="minorEastAsia" w:hAnsiTheme="minorHAnsi" w:cstheme="minorBidi"/>
              <w:b w:val="0"/>
              <w:noProof/>
              <w:szCs w:val="22"/>
            </w:rPr>
          </w:pPr>
          <w:r w:rsidRPr="00446662">
            <w:rPr>
              <w:rFonts w:cs="Arial"/>
              <w:noProof/>
            </w:rPr>
            <w:t>SUBPART 5623.4 Use of Recovered Materials</w:t>
          </w:r>
        </w:p>
        <w:p w14:paraId="266D1366" w14:textId="77777777" w:rsidR="007D6BDE" w:rsidRDefault="007D6BDE">
          <w:pPr>
            <w:pStyle w:val="TOC3"/>
            <w:tabs>
              <w:tab w:val="right" w:leader="dot" w:pos="9350"/>
            </w:tabs>
            <w:rPr>
              <w:rFonts w:asciiTheme="minorHAnsi" w:eastAsiaTheme="minorEastAsia" w:hAnsiTheme="minorHAnsi" w:cstheme="minorBidi"/>
              <w:noProof/>
              <w:szCs w:val="22"/>
            </w:rPr>
          </w:pPr>
          <w:r w:rsidRPr="00446662">
            <w:rPr>
              <w:rFonts w:cs="Arial"/>
              <w:noProof/>
            </w:rPr>
            <w:t>5623.404 Agency Affirmative Procurement Programs.</w:t>
          </w:r>
        </w:p>
        <w:p w14:paraId="418E05C6" w14:textId="77777777" w:rsidR="007D6BDE" w:rsidRDefault="007D6BDE">
          <w:pPr>
            <w:pStyle w:val="TOC3"/>
            <w:tabs>
              <w:tab w:val="right" w:leader="dot" w:pos="9350"/>
            </w:tabs>
            <w:rPr>
              <w:rFonts w:asciiTheme="minorHAnsi" w:eastAsiaTheme="minorEastAsia" w:hAnsiTheme="minorHAnsi" w:cstheme="minorBidi"/>
              <w:noProof/>
              <w:szCs w:val="22"/>
            </w:rPr>
          </w:pPr>
          <w:r w:rsidRPr="00446662">
            <w:rPr>
              <w:rFonts w:cs="Arial"/>
              <w:noProof/>
            </w:rPr>
            <w:t>5623.405 Procedures.</w:t>
          </w:r>
        </w:p>
        <w:p w14:paraId="404B6C3C" w14:textId="00804EFB" w:rsidR="005536CD" w:rsidRDefault="005536CD" w:rsidP="005536CD">
          <w:pPr>
            <w:spacing w:before="120" w:after="120"/>
          </w:pPr>
          <w:r>
            <w:rPr>
              <w:rFonts w:ascii="Arial" w:hAnsi="Arial"/>
              <w:sz w:val="22"/>
            </w:rPr>
            <w:fldChar w:fldCharType="end"/>
          </w:r>
        </w:p>
      </w:sdtContent>
    </w:sdt>
    <w:p w14:paraId="0F1CBCEC" w14:textId="77777777" w:rsidR="005536CD" w:rsidRDefault="005536CD" w:rsidP="00F76A2B">
      <w:pPr>
        <w:rPr>
          <w:rFonts w:ascii="Arial" w:hAnsi="Arial" w:cs="Arial"/>
        </w:rPr>
      </w:pPr>
    </w:p>
    <w:p w14:paraId="6C36DBAB" w14:textId="7DDB00FC" w:rsidR="00F76A2B" w:rsidRDefault="00F76A2B" w:rsidP="00F76A2B">
      <w:pPr>
        <w:pStyle w:val="Heading2"/>
        <w:rPr>
          <w:rFonts w:ascii="Arial" w:hAnsi="Arial" w:cs="Arial"/>
        </w:rPr>
      </w:pPr>
      <w:bookmarkStart w:id="2" w:name="_Toc75355826"/>
      <w:bookmarkStart w:id="3" w:name="_Toc75355915"/>
      <w:r>
        <w:rPr>
          <w:rFonts w:ascii="Arial" w:hAnsi="Arial" w:cs="Arial"/>
        </w:rPr>
        <w:t>SUBPART 5623.4 Use of Recovered Materials</w:t>
      </w:r>
      <w:bookmarkEnd w:id="3"/>
      <w:r>
        <w:rPr>
          <w:rFonts w:ascii="Arial" w:hAnsi="Arial" w:cs="Arial"/>
        </w:rPr>
        <w:t xml:space="preserve"> </w:t>
      </w:r>
      <w:bookmarkEnd w:id="2"/>
    </w:p>
    <w:p w14:paraId="0F9612B4" w14:textId="77777777" w:rsidR="00F76A2B" w:rsidRPr="00F76A2B" w:rsidRDefault="00F76A2B" w:rsidP="00F76A2B">
      <w:pPr>
        <w:pStyle w:val="Heading3"/>
        <w:rPr>
          <w:rFonts w:ascii="Arial" w:hAnsi="Arial" w:cs="Arial"/>
        </w:rPr>
      </w:pPr>
      <w:bookmarkStart w:id="4" w:name="BM203"/>
      <w:bookmarkStart w:id="5" w:name="_Toc75355827"/>
      <w:bookmarkStart w:id="6" w:name="_Toc75355916"/>
      <w:bookmarkEnd w:id="4"/>
      <w:r w:rsidRPr="00F76A2B">
        <w:rPr>
          <w:rFonts w:ascii="Arial" w:hAnsi="Arial" w:cs="Arial"/>
        </w:rPr>
        <w:t>5623.404 Agency Affirmative Procurement Programs.</w:t>
      </w:r>
      <w:bookmarkEnd w:id="5"/>
      <w:bookmarkEnd w:id="6"/>
    </w:p>
    <w:p w14:paraId="0B58464E" w14:textId="77777777" w:rsidR="00F76A2B" w:rsidRPr="005536CD" w:rsidRDefault="00F76A2B" w:rsidP="005536CD">
      <w:pPr>
        <w:rPr>
          <w:rFonts w:ascii="Arial" w:hAnsi="Arial" w:cs="Arial"/>
          <w:b/>
          <w:bCs/>
          <w:i/>
          <w:iCs/>
          <w:sz w:val="20"/>
        </w:rPr>
      </w:pPr>
      <w:r w:rsidRPr="005536CD">
        <w:rPr>
          <w:rFonts w:ascii="Arial" w:hAnsi="Arial" w:cs="Arial"/>
          <w:bCs/>
          <w:i/>
          <w:iCs/>
          <w:sz w:val="20"/>
        </w:rPr>
        <w:t xml:space="preserve">(Revised </w:t>
      </w:r>
      <w:r w:rsidRPr="005536CD">
        <w:rPr>
          <w:rFonts w:ascii="Arial" w:hAnsi="Arial" w:cs="Arial"/>
          <w:i/>
          <w:iCs/>
          <w:sz w:val="20"/>
        </w:rPr>
        <w:t>February 2007</w:t>
      </w:r>
      <w:r w:rsidRPr="005536CD">
        <w:rPr>
          <w:rFonts w:ascii="Arial" w:hAnsi="Arial" w:cs="Arial"/>
          <w:bCs/>
          <w:i/>
          <w:iCs/>
          <w:sz w:val="20"/>
        </w:rPr>
        <w:t>)</w:t>
      </w:r>
    </w:p>
    <w:p w14:paraId="548DD9AE" w14:textId="77777777" w:rsidR="00F76A2B" w:rsidRPr="00F76A2B" w:rsidRDefault="00F76A2B" w:rsidP="00F76A2B">
      <w:pPr>
        <w:pStyle w:val="List1"/>
        <w:rPr>
          <w:rFonts w:ascii="Arial" w:hAnsi="Arial" w:cs="Arial"/>
        </w:rPr>
      </w:pPr>
      <w:r w:rsidRPr="00F76A2B">
        <w:rPr>
          <w:rFonts w:ascii="Arial" w:hAnsi="Arial" w:cs="Arial"/>
        </w:rPr>
        <w:t xml:space="preserve">(a) </w:t>
      </w:r>
      <w:r>
        <w:rPr>
          <w:rFonts w:ascii="Arial" w:hAnsi="Arial" w:cs="Arial"/>
        </w:rPr>
        <w:t xml:space="preserve"> </w:t>
      </w:r>
      <w:r w:rsidRPr="00F76A2B">
        <w:rPr>
          <w:rFonts w:ascii="Arial" w:hAnsi="Arial" w:cs="Arial"/>
        </w:rPr>
        <w:t>Each contracting office shall refer to the Affirmative Procurement Plan (APP) (i.e. Green Procurement Plan (GPP)) of its host base for guidance on the promotion, compliance, and preference for use of recovered materials. Web sites for Army, Air Force, and Navy APPs can be found in the USSOCOM Desktop Resource Center (DCG).</w:t>
      </w:r>
    </w:p>
    <w:p w14:paraId="60E4BCA7" w14:textId="77777777" w:rsidR="00F76A2B" w:rsidRPr="00F76A2B" w:rsidRDefault="00F76A2B" w:rsidP="00F76A2B">
      <w:pPr>
        <w:pStyle w:val="List1"/>
        <w:rPr>
          <w:rFonts w:ascii="Arial" w:hAnsi="Arial" w:cs="Arial"/>
        </w:rPr>
      </w:pPr>
      <w:r w:rsidRPr="00F76A2B">
        <w:rPr>
          <w:rFonts w:ascii="Arial" w:hAnsi="Arial" w:cs="Arial"/>
        </w:rPr>
        <w:t xml:space="preserve">(c) </w:t>
      </w:r>
      <w:r>
        <w:rPr>
          <w:rFonts w:ascii="Arial" w:hAnsi="Arial" w:cs="Arial"/>
        </w:rPr>
        <w:t xml:space="preserve"> </w:t>
      </w:r>
      <w:r w:rsidRPr="00F76A2B">
        <w:rPr>
          <w:rFonts w:ascii="Arial" w:hAnsi="Arial" w:cs="Arial"/>
        </w:rPr>
        <w:t xml:space="preserve">The </w:t>
      </w:r>
      <w:smartTag w:uri="urn:schemas-microsoft-com:office:smarttags" w:element="place">
        <w:smartTag w:uri="urn:schemas-microsoft-com:office:smarttags" w:element="PlaceName">
          <w:r w:rsidRPr="00F76A2B">
            <w:rPr>
              <w:rFonts w:ascii="Arial" w:hAnsi="Arial" w:cs="Arial"/>
            </w:rPr>
            <w:t>Defense</w:t>
          </w:r>
        </w:smartTag>
        <w:r w:rsidRPr="00F76A2B">
          <w:rPr>
            <w:rFonts w:ascii="Arial" w:hAnsi="Arial" w:cs="Arial"/>
          </w:rPr>
          <w:t xml:space="preserve"> </w:t>
        </w:r>
        <w:smartTag w:uri="urn:schemas-microsoft-com:office:smarttags" w:element="PlaceName">
          <w:r w:rsidRPr="00F76A2B">
            <w:rPr>
              <w:rFonts w:ascii="Arial" w:hAnsi="Arial" w:cs="Arial"/>
            </w:rPr>
            <w:t>Acquisition</w:t>
          </w:r>
        </w:smartTag>
        <w:r w:rsidRPr="00F76A2B">
          <w:rPr>
            <w:rFonts w:ascii="Arial" w:hAnsi="Arial" w:cs="Arial"/>
          </w:rPr>
          <w:t xml:space="preserve"> </w:t>
        </w:r>
        <w:smartTag w:uri="urn:schemas-microsoft-com:office:smarttags" w:element="PlaceType">
          <w:r w:rsidRPr="00F76A2B">
            <w:rPr>
              <w:rFonts w:ascii="Arial" w:hAnsi="Arial" w:cs="Arial"/>
            </w:rPr>
            <w:t>University</w:t>
          </w:r>
        </w:smartTag>
      </w:smartTag>
      <w:r w:rsidRPr="00F76A2B">
        <w:rPr>
          <w:rFonts w:ascii="Arial" w:hAnsi="Arial" w:cs="Arial"/>
        </w:rPr>
        <w:t xml:space="preserve"> Government Purchase Card (GPC) tutorial provides USSOCOM approving officials and cardholders with guidance on the purchase of EPA-designated products at or below the micro-purchase threshold as required by FAR.</w:t>
      </w:r>
    </w:p>
    <w:p w14:paraId="422647B5" w14:textId="77777777" w:rsidR="00F76A2B" w:rsidRPr="00F76A2B" w:rsidRDefault="00F76A2B" w:rsidP="00F76A2B">
      <w:pPr>
        <w:pStyle w:val="Heading3"/>
        <w:rPr>
          <w:rFonts w:ascii="Arial" w:hAnsi="Arial" w:cs="Arial"/>
        </w:rPr>
      </w:pPr>
      <w:bookmarkStart w:id="7" w:name="_Toc75355828"/>
      <w:bookmarkStart w:id="8" w:name="_Toc75355917"/>
      <w:r w:rsidRPr="00F76A2B">
        <w:rPr>
          <w:rFonts w:ascii="Arial" w:hAnsi="Arial" w:cs="Arial"/>
        </w:rPr>
        <w:t>5623.405 Procedures.</w:t>
      </w:r>
      <w:bookmarkEnd w:id="7"/>
      <w:bookmarkEnd w:id="8"/>
    </w:p>
    <w:p w14:paraId="5199B9F4" w14:textId="77777777" w:rsidR="00F76A2B" w:rsidRDefault="00F76A2B" w:rsidP="00F76A2B">
      <w:pPr>
        <w:pStyle w:val="List1"/>
        <w:rPr>
          <w:rFonts w:ascii="Arial" w:hAnsi="Arial" w:cs="Arial"/>
        </w:rPr>
      </w:pPr>
      <w:r>
        <w:rPr>
          <w:rFonts w:ascii="Arial" w:hAnsi="Arial" w:cs="Arial"/>
        </w:rPr>
        <w:t xml:space="preserve">(c)  Refer to the USSOCOM DCG for a template of the written justification required by </w:t>
      </w:r>
      <w:hyperlink r:id="rId11" w:anchor="i1094727" w:history="1">
        <w:r>
          <w:rPr>
            <w:rStyle w:val="Hyperlink"/>
            <w:rFonts w:ascii="Arial" w:hAnsi="Arial" w:cs="Arial"/>
          </w:rPr>
          <w:t>FAR 23.405(b)</w:t>
        </w:r>
      </w:hyperlink>
      <w:r>
        <w:rPr>
          <w:rStyle w:val="Hyperlink"/>
          <w:rFonts w:ascii="Arial" w:hAnsi="Arial" w:cs="Arial"/>
        </w:rPr>
        <w:t>(2)</w:t>
      </w:r>
      <w:r>
        <w:rPr>
          <w:rFonts w:ascii="Arial" w:hAnsi="Arial" w:cs="Arial"/>
        </w:rPr>
        <w:t>.</w:t>
      </w:r>
    </w:p>
    <w:p w14:paraId="117F9F42" w14:textId="77777777" w:rsidR="00F76A2B" w:rsidRDefault="00F76A2B" w:rsidP="00F76A2B">
      <w:pPr>
        <w:rPr>
          <w:rFonts w:ascii="Arial" w:hAnsi="Arial" w:cs="Arial"/>
          <w:sz w:val="20"/>
        </w:rPr>
      </w:pPr>
    </w:p>
    <w:p w14:paraId="680D63BE" w14:textId="77777777" w:rsidR="00F76A2B" w:rsidRDefault="00F76A2B" w:rsidP="00F76A2B">
      <w:pPr>
        <w:rPr>
          <w:rFonts w:ascii="Arial" w:hAnsi="Arial" w:cs="Arial"/>
          <w:sz w:val="20"/>
        </w:rPr>
      </w:pPr>
    </w:p>
    <w:p w14:paraId="64B855C6" w14:textId="77777777" w:rsidR="00F76A2B" w:rsidRPr="005536CD" w:rsidRDefault="00F76A2B" w:rsidP="005536CD">
      <w:pPr>
        <w:rPr>
          <w:rFonts w:ascii="Arial" w:hAnsi="Arial" w:cs="Arial"/>
          <w:sz w:val="20"/>
        </w:rPr>
      </w:pPr>
      <w:r w:rsidRPr="005536CD">
        <w:rPr>
          <w:rFonts w:ascii="Arial" w:hAnsi="Arial" w:cs="Arial"/>
          <w:sz w:val="20"/>
        </w:rPr>
        <w:t>HQ, United States Special Operations Command</w:t>
      </w:r>
    </w:p>
    <w:p w14:paraId="0EBF8066" w14:textId="77777777" w:rsidR="00F76A2B" w:rsidRPr="005536CD" w:rsidRDefault="00F76A2B" w:rsidP="005536CD">
      <w:pPr>
        <w:rPr>
          <w:rFonts w:ascii="Arial" w:hAnsi="Arial" w:cs="Arial"/>
          <w:sz w:val="20"/>
        </w:rPr>
      </w:pPr>
      <w:r w:rsidRPr="005536CD">
        <w:rPr>
          <w:rFonts w:ascii="Arial" w:hAnsi="Arial" w:cs="Arial"/>
          <w:sz w:val="20"/>
        </w:rPr>
        <w:t>Special Operations Forces Acquisition, Technology, and Logistics (SOF AT&amp;L)</w:t>
      </w:r>
    </w:p>
    <w:p w14:paraId="63AD7902" w14:textId="77777777" w:rsidR="00F76A2B" w:rsidRPr="005536CD" w:rsidRDefault="00F76A2B" w:rsidP="005536CD">
      <w:pPr>
        <w:rPr>
          <w:rFonts w:ascii="Arial" w:hAnsi="Arial" w:cs="Arial"/>
          <w:sz w:val="20"/>
        </w:rPr>
      </w:pPr>
      <w:r w:rsidRPr="005536CD">
        <w:rPr>
          <w:rFonts w:ascii="Arial" w:hAnsi="Arial" w:cs="Arial"/>
          <w:sz w:val="20"/>
        </w:rPr>
        <w:t>SOFARS 5624</w:t>
      </w:r>
    </w:p>
    <w:p w14:paraId="11082529" w14:textId="77777777" w:rsidR="00F76A2B" w:rsidRPr="005536CD" w:rsidRDefault="00F76A2B" w:rsidP="005536CD">
      <w:pPr>
        <w:rPr>
          <w:rFonts w:ascii="Arial" w:hAnsi="Arial" w:cs="Arial"/>
          <w:sz w:val="20"/>
        </w:rPr>
      </w:pPr>
      <w:r w:rsidRPr="005536CD">
        <w:rPr>
          <w:rFonts w:ascii="Arial" w:hAnsi="Arial" w:cs="Arial"/>
          <w:sz w:val="20"/>
        </w:rPr>
        <w:t>February 2007</w:t>
      </w:r>
    </w:p>
    <w:p w14:paraId="00864ACC" w14:textId="77777777" w:rsidR="007059C1" w:rsidRPr="00BE196B" w:rsidRDefault="007059C1" w:rsidP="00BE196B"/>
    <w:sectPr w:rsidR="007059C1" w:rsidRPr="00BE196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DE686" w14:textId="77777777" w:rsidR="00F76A2B" w:rsidRDefault="00F76A2B">
      <w:r>
        <w:separator/>
      </w:r>
    </w:p>
  </w:endnote>
  <w:endnote w:type="continuationSeparator" w:id="0">
    <w:p w14:paraId="32A97A16" w14:textId="77777777" w:rsidR="00F76A2B" w:rsidRDefault="00F7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030BA" w14:textId="77777777" w:rsidR="00F76A2B" w:rsidRDefault="00F76A2B">
      <w:r>
        <w:separator/>
      </w:r>
    </w:p>
  </w:footnote>
  <w:footnote w:type="continuationSeparator" w:id="0">
    <w:p w14:paraId="6E15E1C5" w14:textId="77777777" w:rsidR="00F76A2B" w:rsidRDefault="00F76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7C59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A88D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F408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ECD2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CE8C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F23C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AA7A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D90BE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A6B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C8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3"/>
  </w:num>
  <w:num w:numId="3">
    <w:abstractNumId w:val="18"/>
  </w:num>
  <w:num w:numId="4">
    <w:abstractNumId w:val="21"/>
  </w:num>
  <w:num w:numId="5">
    <w:abstractNumId w:val="28"/>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0"/>
  </w:num>
  <w:num w:numId="19">
    <w:abstractNumId w:val="29"/>
  </w:num>
  <w:num w:numId="20">
    <w:abstractNumId w:val="10"/>
  </w:num>
  <w:num w:numId="21">
    <w:abstractNumId w:val="22"/>
  </w:num>
  <w:num w:numId="22">
    <w:abstractNumId w:val="27"/>
  </w:num>
  <w:num w:numId="23">
    <w:abstractNumId w:val="17"/>
  </w:num>
  <w:num w:numId="24">
    <w:abstractNumId w:val="16"/>
  </w:num>
  <w:num w:numId="25">
    <w:abstractNumId w:val="15"/>
  </w:num>
  <w:num w:numId="26">
    <w:abstractNumId w:val="12"/>
  </w:num>
  <w:num w:numId="27">
    <w:abstractNumId w:val="24"/>
  </w:num>
  <w:num w:numId="28">
    <w:abstractNumId w:val="11"/>
  </w:num>
  <w:num w:numId="29">
    <w:abstractNumId w:val="30"/>
  </w:num>
  <w:num w:numId="30">
    <w:abstractNumId w:val="26"/>
  </w:num>
  <w:num w:numId="3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2B"/>
    <w:rsid w:val="00040798"/>
    <w:rsid w:val="00072DE6"/>
    <w:rsid w:val="000B7837"/>
    <w:rsid w:val="000C65F5"/>
    <w:rsid w:val="000E19AF"/>
    <w:rsid w:val="000E6E2A"/>
    <w:rsid w:val="000F5037"/>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536CD"/>
    <w:rsid w:val="00581655"/>
    <w:rsid w:val="005A4035"/>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7D6BDE"/>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76A2B"/>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2D96B54"/>
  <w15:docId w15:val="{D103F75F-996A-4C5F-9C23-1FF2990E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6A2B"/>
    <w:rPr>
      <w:sz w:val="24"/>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7D6BDE"/>
    <w:pPr>
      <w:tabs>
        <w:tab w:val="right" w:leader="dot" w:pos="9350"/>
      </w:tabs>
      <w:spacing w:before="120" w:after="120"/>
    </w:pPr>
    <w:rPr>
      <w:rFonts w:ascii="Arial" w:hAnsi="Arial"/>
      <w:b/>
      <w:sz w:val="22"/>
    </w:rPr>
  </w:style>
  <w:style w:type="paragraph" w:styleId="TOC2">
    <w:name w:val="toc 2"/>
    <w:basedOn w:val="Normal"/>
    <w:next w:val="Normal"/>
    <w:autoRedefine/>
    <w:uiPriority w:val="39"/>
    <w:unhideWhenUsed/>
    <w:rsid w:val="005536CD"/>
    <w:pPr>
      <w:ind w:left="220"/>
    </w:pPr>
    <w:rPr>
      <w:rFonts w:ascii="Arial" w:hAnsi="Arial"/>
      <w:b/>
      <w:sz w:val="22"/>
    </w:rPr>
  </w:style>
  <w:style w:type="paragraph" w:customStyle="1" w:styleId="Style1">
    <w:name w:val="Style1"/>
    <w:basedOn w:val="Normal"/>
    <w:rsid w:val="00F76A2B"/>
    <w:pPr>
      <w:widowControl w:val="0"/>
      <w:snapToGrid w:val="0"/>
      <w:spacing w:before="100" w:after="100"/>
      <w:jc w:val="center"/>
    </w:pPr>
    <w:rPr>
      <w:rFonts w:ascii="Arial" w:hAnsi="Arial" w:cs="Arial"/>
      <w:b/>
      <w:bCs/>
      <w:szCs w:val="24"/>
    </w:rPr>
  </w:style>
  <w:style w:type="paragraph" w:styleId="TOCHeading">
    <w:name w:val="TOC Heading"/>
    <w:basedOn w:val="Heading1"/>
    <w:next w:val="Normal"/>
    <w:uiPriority w:val="39"/>
    <w:unhideWhenUsed/>
    <w:qFormat/>
    <w:rsid w:val="005536CD"/>
    <w:pPr>
      <w:keepNext/>
      <w:keepLines/>
      <w:spacing w:before="24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5536CD"/>
    <w:pPr>
      <w:spacing w:after="100"/>
      <w:ind w:left="48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23-environment-energy-and-water-efficiency-renewable-energy-technologies-occupational-safety-and-drug-free-workplac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20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DE0E2482-A92F-4855-8826-8F52371E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 v2</Template>
  <TotalTime>2</TotalTime>
  <Pages>1</Pages>
  <Words>175</Words>
  <Characters>1325</Characters>
  <Application>Microsoft Office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5623 - ENVIRONMENTAL, CONSERVATION, OCCUPATIONAL SAFETY, AND DRUG-FREE WORKPLACE</dc:title>
  <dc:creator>Duchesne, Marian B NH-IIICIV USSOCOM SOCOM (USA)</dc:creator>
  <cp:lastModifiedBy>Duchesne, Marian B CIV USSOCOM SOCOM (USA)</cp:lastModifiedBy>
  <cp:revision>2</cp:revision>
  <cp:lastPrinted>2010-02-11T14:15:00Z</cp:lastPrinted>
  <dcterms:created xsi:type="dcterms:W3CDTF">2021-06-23T19:52:00Z</dcterms:created>
  <dcterms:modified xsi:type="dcterms:W3CDTF">2021-06-23T19:52:00Z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