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036FD" w14:textId="77777777" w:rsidR="004E1596" w:rsidRDefault="004E1596" w:rsidP="004E1596">
      <w:pPr>
        <w:spacing w:after="120"/>
        <w:ind w:right="72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SOFARS PART 5625 - FOREIGN ACQUISITION </w:t>
      </w:r>
    </w:p>
    <w:p w14:paraId="1C7A87E4" w14:textId="1554A59D" w:rsidR="004E1596" w:rsidRDefault="004E1596" w:rsidP="004E1596">
      <w:pPr>
        <w:spacing w:after="120"/>
        <w:ind w:right="720"/>
        <w:rPr>
          <w:rFonts w:ascii="Arial" w:hAnsi="Arial" w:cs="Arial"/>
          <w:b/>
          <w:sz w:val="22"/>
        </w:rPr>
      </w:pPr>
      <w:r>
        <w:rPr>
          <w:rFonts w:ascii="Arial" w:hAnsi="Arial" w:cs="Arial"/>
          <w:i/>
          <w:sz w:val="22"/>
        </w:rPr>
        <w:t>(Revised J</w:t>
      </w:r>
      <w:r w:rsidR="00664796">
        <w:rPr>
          <w:rFonts w:ascii="Arial" w:hAnsi="Arial" w:cs="Arial"/>
          <w:i/>
          <w:sz w:val="22"/>
        </w:rPr>
        <w:t>une 2021</w:t>
      </w:r>
      <w:r>
        <w:rPr>
          <w:rFonts w:ascii="Arial" w:hAnsi="Arial" w:cs="Arial"/>
          <w:i/>
          <w:sz w:val="22"/>
        </w:rPr>
        <w:t>)</w:t>
      </w:r>
    </w:p>
    <w:sdt>
      <w:sdtPr>
        <w:rPr>
          <w:rFonts w:ascii="Times New Roman" w:eastAsia="Times New Roman" w:hAnsi="Times New Roman" w:cs="Times New Roman"/>
          <w:b w:val="0"/>
          <w:color w:val="auto"/>
          <w:sz w:val="24"/>
          <w:szCs w:val="24"/>
        </w:rPr>
        <w:id w:val="-202191310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2F94794" w14:textId="74815512" w:rsidR="00932E8B" w:rsidRDefault="00932E8B">
          <w:pPr>
            <w:pStyle w:val="TOCHeading"/>
          </w:pPr>
          <w:r>
            <w:t>Table of Contents</w:t>
          </w:r>
        </w:p>
        <w:p w14:paraId="36CD1146" w14:textId="06C56386" w:rsidR="00C618B1" w:rsidRDefault="00C618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"1-4" \n \h \z \u </w:instrText>
          </w:r>
          <w:r>
            <w:fldChar w:fldCharType="separate"/>
          </w:r>
          <w:hyperlink w:anchor="_Toc75410510" w:history="1">
            <w:r w:rsidRPr="00A74AEE">
              <w:rPr>
                <w:rStyle w:val="Hyperlink"/>
                <w:noProof/>
              </w:rPr>
              <w:t>SOFARS PART 5625 FOREIGN ACQUISITION</w:t>
            </w:r>
          </w:hyperlink>
        </w:p>
        <w:p w14:paraId="741C835E" w14:textId="3CEDE57F" w:rsidR="00C618B1" w:rsidRDefault="00C618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0511" w:history="1">
            <w:r w:rsidRPr="00A74AEE">
              <w:rPr>
                <w:rStyle w:val="Hyperlink"/>
                <w:noProof/>
              </w:rPr>
              <w:t>SUBPART 5625.1 BUY AMERICAN ACT -– SUPPLIES</w:t>
            </w:r>
          </w:hyperlink>
        </w:p>
        <w:p w14:paraId="04E89E4B" w14:textId="02BC6CE1" w:rsidR="00C618B1" w:rsidRDefault="00C618B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410512" w:history="1">
            <w:r w:rsidRPr="00A74AEE">
              <w:rPr>
                <w:rStyle w:val="Hyperlink"/>
                <w:noProof/>
              </w:rPr>
              <w:t>5625.103 Exceptions.</w:t>
            </w:r>
          </w:hyperlink>
        </w:p>
        <w:p w14:paraId="6B0D6182" w14:textId="33F1011F" w:rsidR="00C618B1" w:rsidRDefault="00C618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0513" w:history="1">
            <w:r w:rsidRPr="00A74AEE">
              <w:rPr>
                <w:rStyle w:val="Hyperlink"/>
                <w:noProof/>
              </w:rPr>
              <w:t xml:space="preserve">SUBPART 5625.8 - OTHER INTERNATIONAL AGREEMENTS AND COORDINATION </w:t>
            </w:r>
            <w:r w:rsidRPr="00A74AEE">
              <w:rPr>
                <w:rStyle w:val="Hyperlink"/>
                <w:i/>
                <w:noProof/>
              </w:rPr>
              <w:t>(Removed August 2017)</w:t>
            </w:r>
          </w:hyperlink>
        </w:p>
        <w:p w14:paraId="7B62B641" w14:textId="7E0045D4" w:rsidR="00C618B1" w:rsidRDefault="00C618B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410514" w:history="1">
            <w:r w:rsidRPr="00A74AEE">
              <w:rPr>
                <w:rStyle w:val="Hyperlink"/>
                <w:noProof/>
              </w:rPr>
              <w:t xml:space="preserve">SUBPART 5625.9 - CUSTOMS AND DUTIES </w:t>
            </w:r>
            <w:r w:rsidRPr="00A74AEE">
              <w:rPr>
                <w:rStyle w:val="Hyperlink"/>
                <w:i/>
                <w:noProof/>
              </w:rPr>
              <w:t>(Removed June 2021)</w:t>
            </w:r>
          </w:hyperlink>
        </w:p>
        <w:p w14:paraId="203BBA55" w14:textId="14F6C989" w:rsidR="00932E8B" w:rsidRDefault="00C618B1">
          <w:r>
            <w:rPr>
              <w:rFonts w:ascii="Arial" w:hAnsi="Arial" w:cs="Arial"/>
              <w:sz w:val="22"/>
              <w:szCs w:val="20"/>
            </w:rPr>
            <w:fldChar w:fldCharType="end"/>
          </w:r>
        </w:p>
      </w:sdtContent>
    </w:sdt>
    <w:p w14:paraId="527B0C81" w14:textId="77777777" w:rsidR="004E1596" w:rsidRDefault="004E1596" w:rsidP="004E1596">
      <w:pPr>
        <w:rPr>
          <w:rFonts w:ascii="Arial" w:hAnsi="Arial" w:cs="Arial"/>
          <w:b/>
          <w:sz w:val="28"/>
          <w:szCs w:val="20"/>
        </w:rPr>
      </w:pPr>
    </w:p>
    <w:p w14:paraId="559B9438" w14:textId="77777777" w:rsidR="004E1596" w:rsidRDefault="004E1596" w:rsidP="004E1596">
      <w:pPr>
        <w:pStyle w:val="Heading1"/>
      </w:pPr>
      <w:bookmarkStart w:id="0" w:name="_Toc75410510"/>
      <w:r>
        <w:t>SOFARS PART 5625</w:t>
      </w:r>
      <w:r>
        <w:br/>
        <w:t>FOREIGN ACQUISITION</w:t>
      </w:r>
      <w:bookmarkEnd w:id="0"/>
      <w:r>
        <w:t xml:space="preserve"> </w:t>
      </w:r>
    </w:p>
    <w:p w14:paraId="4C91FCA3" w14:textId="77777777" w:rsidR="004E1596" w:rsidRDefault="004E1596" w:rsidP="004E1596">
      <w:pPr>
        <w:rPr>
          <w:rFonts w:ascii="Arial" w:hAnsi="Arial" w:cs="Arial"/>
          <w:sz w:val="22"/>
          <w:szCs w:val="20"/>
        </w:rPr>
      </w:pPr>
    </w:p>
    <w:p w14:paraId="1795E052" w14:textId="77777777" w:rsidR="004E1596" w:rsidRDefault="004E1596" w:rsidP="004E1596">
      <w:pPr>
        <w:rPr>
          <w:rFonts w:ascii="Arial" w:hAnsi="Arial" w:cs="Arial"/>
          <w:sz w:val="22"/>
          <w:szCs w:val="20"/>
        </w:rPr>
      </w:pPr>
    </w:p>
    <w:p w14:paraId="6BCB5ADD" w14:textId="3BBEE262" w:rsidR="004E1596" w:rsidRDefault="004E1596" w:rsidP="004E1596">
      <w:pPr>
        <w:pStyle w:val="Heading2"/>
        <w:rPr>
          <w:rStyle w:val="Hyperlink"/>
          <w:b w:val="0"/>
          <w:szCs w:val="20"/>
        </w:rPr>
      </w:pPr>
      <w:bookmarkStart w:id="1" w:name="_Toc75410511"/>
      <w:r>
        <w:rPr>
          <w:szCs w:val="20"/>
        </w:rPr>
        <w:t>SUBPART 5625.1 BUY AMERICAN ACT -– SUPPLIES</w:t>
      </w:r>
      <w:bookmarkEnd w:id="1"/>
      <w:r>
        <w:rPr>
          <w:szCs w:val="20"/>
        </w:rPr>
        <w:t xml:space="preserve"> </w:t>
      </w:r>
    </w:p>
    <w:p w14:paraId="7369CF83" w14:textId="77777777" w:rsidR="004E1596" w:rsidRDefault="004E1596" w:rsidP="004E1596">
      <w:pPr>
        <w:pStyle w:val="Heading3"/>
      </w:pPr>
      <w:bookmarkStart w:id="2" w:name="BM102"/>
      <w:bookmarkStart w:id="3" w:name="BM103"/>
      <w:bookmarkStart w:id="4" w:name="_Toc75410512"/>
      <w:bookmarkEnd w:id="2"/>
      <w:bookmarkEnd w:id="3"/>
      <w:r>
        <w:t>5625.103 Exceptions.</w:t>
      </w:r>
      <w:bookmarkEnd w:id="4"/>
    </w:p>
    <w:p w14:paraId="3D4ABEEA" w14:textId="77777777" w:rsidR="004E1596" w:rsidRDefault="004E1596" w:rsidP="004E1596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Where throughout </w:t>
      </w:r>
      <w:hyperlink r:id="rId11" w:anchor="225.103" w:history="1">
        <w:r>
          <w:rPr>
            <w:rStyle w:val="Hyperlink"/>
            <w:rFonts w:ascii="Arial" w:hAnsi="Arial" w:cs="Arial"/>
            <w:sz w:val="20"/>
            <w:szCs w:val="20"/>
          </w:rPr>
          <w:t>DFARS 225.103</w:t>
        </w:r>
      </w:hyperlink>
      <w:r>
        <w:rPr>
          <w:rFonts w:ascii="Arial" w:hAnsi="Arial" w:cs="Arial"/>
          <w:sz w:val="20"/>
          <w:szCs w:val="20"/>
        </w:rPr>
        <w:t xml:space="preserve"> the approval level is stated as Head of Agency (HOA) or Head of Contracting Activity (HCA), the approval authority for USSOCOM is the Director of Procurement (DOP). </w:t>
      </w:r>
    </w:p>
    <w:p w14:paraId="26D6970F" w14:textId="0164A167" w:rsidR="004E1596" w:rsidRDefault="004E1596" w:rsidP="00932E8B">
      <w:pPr>
        <w:pStyle w:val="Heading2"/>
        <w:rPr>
          <w:i/>
          <w:szCs w:val="20"/>
        </w:rPr>
      </w:pPr>
      <w:bookmarkStart w:id="5" w:name="BM5625"/>
      <w:bookmarkStart w:id="6" w:name="BM303"/>
      <w:bookmarkStart w:id="7" w:name="_Toc75410513"/>
      <w:bookmarkEnd w:id="5"/>
      <w:bookmarkEnd w:id="6"/>
      <w:r>
        <w:t>SUBPART 5625.8 - OTHER INTERNATIONAL AGREEMENTS AND COORDINATION</w:t>
      </w:r>
      <w:r w:rsidR="00932E8B">
        <w:t xml:space="preserve"> </w:t>
      </w:r>
      <w:r w:rsidRPr="00932E8B">
        <w:rPr>
          <w:b w:val="0"/>
          <w:bCs w:val="0"/>
          <w:i/>
          <w:szCs w:val="20"/>
        </w:rPr>
        <w:t>(Removed August 2017)</w:t>
      </w:r>
      <w:bookmarkEnd w:id="7"/>
    </w:p>
    <w:p w14:paraId="40C61DA0" w14:textId="197FA54F" w:rsidR="004E1596" w:rsidRDefault="004E1596" w:rsidP="00932E8B">
      <w:pPr>
        <w:pStyle w:val="Heading2"/>
        <w:rPr>
          <w:i/>
          <w:szCs w:val="20"/>
        </w:rPr>
      </w:pPr>
      <w:bookmarkStart w:id="8" w:name="_Toc75410514"/>
      <w:r>
        <w:t>SUBPART 5625.9 - CUSTOMS AND DUTIES</w:t>
      </w:r>
      <w:r w:rsidR="00932E8B">
        <w:t xml:space="preserve"> </w:t>
      </w:r>
      <w:bookmarkStart w:id="9" w:name="BM901"/>
      <w:bookmarkEnd w:id="9"/>
      <w:r w:rsidRPr="00932E8B">
        <w:rPr>
          <w:b w:val="0"/>
          <w:bCs w:val="0"/>
          <w:i/>
          <w:szCs w:val="20"/>
        </w:rPr>
        <w:t>(Removed Ju</w:t>
      </w:r>
      <w:r w:rsidR="00664796" w:rsidRPr="00932E8B">
        <w:rPr>
          <w:b w:val="0"/>
          <w:bCs w:val="0"/>
          <w:i/>
          <w:szCs w:val="20"/>
        </w:rPr>
        <w:t>ne 2021</w:t>
      </w:r>
      <w:r w:rsidRPr="00932E8B">
        <w:rPr>
          <w:b w:val="0"/>
          <w:bCs w:val="0"/>
          <w:i/>
          <w:szCs w:val="20"/>
        </w:rPr>
        <w:t>)</w:t>
      </w:r>
      <w:bookmarkStart w:id="10" w:name="BM74"/>
      <w:bookmarkEnd w:id="10"/>
      <w:bookmarkEnd w:id="8"/>
    </w:p>
    <w:p w14:paraId="0B6B6369" w14:textId="77777777" w:rsidR="004E1596" w:rsidRDefault="004E1596" w:rsidP="004E1596">
      <w:pPr>
        <w:rPr>
          <w:rFonts w:ascii="Arial" w:hAnsi="Arial" w:cs="Arial"/>
          <w:sz w:val="20"/>
          <w:szCs w:val="20"/>
        </w:rPr>
      </w:pPr>
    </w:p>
    <w:p w14:paraId="31D17648" w14:textId="77777777" w:rsidR="004E1596" w:rsidRDefault="004E1596" w:rsidP="004E1596">
      <w:pPr>
        <w:rPr>
          <w:rFonts w:ascii="Arial" w:hAnsi="Arial" w:cs="Arial"/>
          <w:sz w:val="20"/>
          <w:szCs w:val="20"/>
        </w:rPr>
      </w:pPr>
    </w:p>
    <w:p w14:paraId="4BB37867" w14:textId="77777777" w:rsidR="004E1596" w:rsidRPr="001B2B4A" w:rsidRDefault="004E1596" w:rsidP="004E1596">
      <w:pPr>
        <w:rPr>
          <w:rFonts w:ascii="Arial" w:hAnsi="Arial" w:cs="Arial"/>
          <w:sz w:val="20"/>
          <w:szCs w:val="20"/>
        </w:rPr>
      </w:pPr>
      <w:r w:rsidRPr="001B2B4A">
        <w:rPr>
          <w:rFonts w:ascii="Arial" w:hAnsi="Arial" w:cs="Arial"/>
          <w:sz w:val="20"/>
          <w:szCs w:val="20"/>
        </w:rPr>
        <w:t xml:space="preserve">HQ, </w:t>
      </w:r>
      <w:smartTag w:uri="urn:schemas-microsoft-com:office:smarttags" w:element="country-region">
        <w:r w:rsidRPr="001B2B4A">
          <w:rPr>
            <w:rFonts w:ascii="Arial" w:hAnsi="Arial" w:cs="Arial"/>
            <w:sz w:val="20"/>
            <w:szCs w:val="20"/>
          </w:rPr>
          <w:t>United States</w:t>
        </w:r>
      </w:smartTag>
      <w:r w:rsidRPr="001B2B4A">
        <w:rPr>
          <w:rFonts w:ascii="Arial" w:hAnsi="Arial" w:cs="Arial"/>
          <w:sz w:val="20"/>
          <w:szCs w:val="20"/>
        </w:rPr>
        <w:t xml:space="preserve"> Special Operations Command</w:t>
      </w:r>
      <w:r w:rsidRPr="001B2B4A">
        <w:rPr>
          <w:rFonts w:ascii="Arial" w:hAnsi="Arial" w:cs="Arial"/>
          <w:sz w:val="20"/>
          <w:szCs w:val="20"/>
        </w:rPr>
        <w:br/>
        <w:t>Special Operations Forces Acquisition, Technology, and Logistics (SOF AT&amp;L)</w:t>
      </w:r>
    </w:p>
    <w:p w14:paraId="3F1EF5DD" w14:textId="77777777" w:rsidR="004E1596" w:rsidRDefault="004E1596" w:rsidP="004E159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SOFARS 5625</w:t>
      </w:r>
    </w:p>
    <w:p w14:paraId="21CAEF16" w14:textId="77777777" w:rsidR="004E1596" w:rsidRDefault="004E1596" w:rsidP="004E1596">
      <w:pPr>
        <w:rPr>
          <w:rFonts w:ascii="Arial" w:hAnsi="Arial" w:cs="Arial"/>
          <w:sz w:val="20"/>
          <w:szCs w:val="20"/>
        </w:rPr>
      </w:pPr>
      <w:r w:rsidRPr="001B2B4A">
        <w:rPr>
          <w:rFonts w:ascii="Arial" w:hAnsi="Arial" w:cs="Arial"/>
          <w:sz w:val="20"/>
          <w:szCs w:val="20"/>
        </w:rPr>
        <w:t>February 2007</w:t>
      </w:r>
    </w:p>
    <w:p w14:paraId="0142E3A1" w14:textId="77777777" w:rsidR="007059C1" w:rsidRPr="00BE196B" w:rsidRDefault="007059C1" w:rsidP="00BE196B"/>
    <w:sectPr w:rsidR="007059C1" w:rsidRPr="00BE196B" w:rsidSect="00E13A99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E7AD6" w14:textId="77777777" w:rsidR="004E1596" w:rsidRDefault="004E1596">
      <w:r>
        <w:separator/>
      </w:r>
    </w:p>
  </w:endnote>
  <w:endnote w:type="continuationSeparator" w:id="0">
    <w:p w14:paraId="2925B778" w14:textId="77777777" w:rsidR="004E1596" w:rsidRDefault="004E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359A6" w14:textId="77777777" w:rsidR="004E1596" w:rsidRDefault="004E1596">
      <w:r>
        <w:separator/>
      </w:r>
    </w:p>
  </w:footnote>
  <w:footnote w:type="continuationSeparator" w:id="0">
    <w:p w14:paraId="1D14E1EB" w14:textId="77777777" w:rsidR="004E1596" w:rsidRDefault="004E1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2144BD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6EF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DA6B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AAC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D8460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28B5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C68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A4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CC4E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1E9C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23"/>
  </w:num>
  <w:num w:numId="3">
    <w:abstractNumId w:val="18"/>
  </w:num>
  <w:num w:numId="4">
    <w:abstractNumId w:val="21"/>
  </w:num>
  <w:num w:numId="5">
    <w:abstractNumId w:val="28"/>
  </w:num>
  <w:num w:numId="6">
    <w:abstractNumId w:val="19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4"/>
  </w:num>
  <w:num w:numId="18">
    <w:abstractNumId w:val="20"/>
  </w:num>
  <w:num w:numId="19">
    <w:abstractNumId w:val="29"/>
  </w:num>
  <w:num w:numId="20">
    <w:abstractNumId w:val="10"/>
  </w:num>
  <w:num w:numId="21">
    <w:abstractNumId w:val="22"/>
  </w:num>
  <w:num w:numId="22">
    <w:abstractNumId w:val="27"/>
  </w:num>
  <w:num w:numId="23">
    <w:abstractNumId w:val="17"/>
  </w:num>
  <w:num w:numId="24">
    <w:abstractNumId w:val="16"/>
  </w:num>
  <w:num w:numId="25">
    <w:abstractNumId w:val="15"/>
  </w:num>
  <w:num w:numId="26">
    <w:abstractNumId w:val="12"/>
  </w:num>
  <w:num w:numId="27">
    <w:abstractNumId w:val="24"/>
  </w:num>
  <w:num w:numId="28">
    <w:abstractNumId w:val="11"/>
  </w:num>
  <w:num w:numId="29">
    <w:abstractNumId w:val="30"/>
  </w:num>
  <w:num w:numId="30">
    <w:abstractNumId w:val="26"/>
  </w:num>
  <w:num w:numId="31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96"/>
    <w:rsid w:val="00040798"/>
    <w:rsid w:val="00072DE6"/>
    <w:rsid w:val="000B7837"/>
    <w:rsid w:val="000C65F5"/>
    <w:rsid w:val="000E19AF"/>
    <w:rsid w:val="000E6E2A"/>
    <w:rsid w:val="000F5037"/>
    <w:rsid w:val="00182208"/>
    <w:rsid w:val="00195EAD"/>
    <w:rsid w:val="001A79C7"/>
    <w:rsid w:val="001B5390"/>
    <w:rsid w:val="001D4638"/>
    <w:rsid w:val="002110A6"/>
    <w:rsid w:val="00214BB7"/>
    <w:rsid w:val="00261D44"/>
    <w:rsid w:val="00274018"/>
    <w:rsid w:val="00275457"/>
    <w:rsid w:val="002954CC"/>
    <w:rsid w:val="00326934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B17FA"/>
    <w:rsid w:val="004D0746"/>
    <w:rsid w:val="004E1596"/>
    <w:rsid w:val="004E416B"/>
    <w:rsid w:val="004F52F1"/>
    <w:rsid w:val="00581655"/>
    <w:rsid w:val="005A4035"/>
    <w:rsid w:val="005C406D"/>
    <w:rsid w:val="0061650B"/>
    <w:rsid w:val="00664796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87B4D"/>
    <w:rsid w:val="0079500D"/>
    <w:rsid w:val="007C1D83"/>
    <w:rsid w:val="008114E7"/>
    <w:rsid w:val="00817171"/>
    <w:rsid w:val="008921AD"/>
    <w:rsid w:val="008B3E9B"/>
    <w:rsid w:val="008C4E69"/>
    <w:rsid w:val="0091065B"/>
    <w:rsid w:val="00932E8B"/>
    <w:rsid w:val="009703A1"/>
    <w:rsid w:val="00991E52"/>
    <w:rsid w:val="009C4D36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71D5"/>
    <w:rsid w:val="00C310FE"/>
    <w:rsid w:val="00C57FC4"/>
    <w:rsid w:val="00C618B1"/>
    <w:rsid w:val="00C946DE"/>
    <w:rsid w:val="00C96C49"/>
    <w:rsid w:val="00CB2806"/>
    <w:rsid w:val="00CF18B4"/>
    <w:rsid w:val="00D23DBC"/>
    <w:rsid w:val="00D50A0B"/>
    <w:rsid w:val="00D828A5"/>
    <w:rsid w:val="00DA6976"/>
    <w:rsid w:val="00DD456B"/>
    <w:rsid w:val="00E13A99"/>
    <w:rsid w:val="00E35FEF"/>
    <w:rsid w:val="00E41EC2"/>
    <w:rsid w:val="00E4240B"/>
    <w:rsid w:val="00E82704"/>
    <w:rsid w:val="00EB5CEC"/>
    <w:rsid w:val="00EC19C2"/>
    <w:rsid w:val="00EC280F"/>
    <w:rsid w:val="00EE39BA"/>
    <w:rsid w:val="00EF6835"/>
    <w:rsid w:val="00F11651"/>
    <w:rsid w:val="00F12B41"/>
    <w:rsid w:val="00F170A5"/>
    <w:rsid w:val="00F2117D"/>
    <w:rsid w:val="00F22B4E"/>
    <w:rsid w:val="00F23469"/>
    <w:rsid w:val="00F403A0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81FE137"/>
  <w15:docId w15:val="{AE12626B-0EFE-487A-A87C-9ECCC977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15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14BB7"/>
    <w:pPr>
      <w:widowControl w:val="0"/>
      <w:snapToGrid w:val="0"/>
      <w:spacing w:before="100" w:after="100"/>
      <w:outlineLvl w:val="0"/>
    </w:pPr>
    <w:rPr>
      <w:rFonts w:ascii="Arial" w:eastAsiaTheme="majorEastAsia" w:hAnsi="Arial" w:cs="Arial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widowControl w:val="0"/>
      <w:snapToGrid w:val="0"/>
      <w:spacing w:after="120"/>
      <w:outlineLvl w:val="1"/>
    </w:pPr>
    <w:rPr>
      <w:rFonts w:ascii="Arial" w:eastAsiaTheme="majorEastAsia" w:hAnsi="Arial" w:cs="Arial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widowControl w:val="0"/>
      <w:snapToGrid w:val="0"/>
      <w:spacing w:after="120"/>
      <w:outlineLvl w:val="2"/>
    </w:pPr>
    <w:rPr>
      <w:rFonts w:ascii="Arial" w:eastAsiaTheme="majorEastAsia" w:hAnsi="Arial" w:cs="Arial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widowControl w:val="0"/>
      <w:snapToGrid w:val="0"/>
      <w:spacing w:after="120"/>
      <w:outlineLvl w:val="3"/>
    </w:pPr>
    <w:rPr>
      <w:rFonts w:ascii="Arial" w:eastAsiaTheme="majorEastAsia" w:hAnsi="Arial" w:cs="Arial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  <w:szCs w:val="20"/>
    </w:r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snapToGrid w:val="0"/>
      <w:spacing w:before="100" w:after="100"/>
    </w:pPr>
    <w:rPr>
      <w:rFonts w:ascii="Arial" w:hAnsi="Arial" w:cs="Arial"/>
      <w:sz w:val="22"/>
      <w:szCs w:val="20"/>
    </w:r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widowControl w:val="0"/>
      <w:shd w:val="clear" w:color="auto" w:fill="000080"/>
      <w:snapToGrid w:val="0"/>
      <w:spacing w:before="100" w:after="100"/>
    </w:pPr>
    <w:rPr>
      <w:rFonts w:ascii="Tahoma" w:hAnsi="Tahoma" w:cs="Arial"/>
      <w:sz w:val="22"/>
      <w:szCs w:val="20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pPr>
      <w:widowControl w:val="0"/>
      <w:snapToGrid w:val="0"/>
      <w:spacing w:before="100" w:after="1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widowControl w:val="0"/>
      <w:snapToGrid w:val="0"/>
      <w:spacing w:before="100" w:after="100"/>
      <w:ind w:left="720"/>
      <w:contextualSpacing/>
    </w:pPr>
    <w:rPr>
      <w:rFonts w:ascii="Arial" w:hAnsi="Arial" w:cs="Arial"/>
      <w:sz w:val="22"/>
      <w:szCs w:val="20"/>
    </w:rPr>
  </w:style>
  <w:style w:type="paragraph" w:customStyle="1" w:styleId="DefinitionTerm">
    <w:name w:val="Definition Term"/>
    <w:basedOn w:val="Normal"/>
    <w:next w:val="DefinitionList"/>
    <w:pPr>
      <w:widowControl w:val="0"/>
      <w:snapToGrid w:val="0"/>
    </w:pPr>
    <w:rPr>
      <w:rFonts w:ascii="Arial" w:hAnsi="Arial" w:cs="Arial"/>
      <w:sz w:val="22"/>
      <w:szCs w:val="20"/>
    </w:rPr>
  </w:style>
  <w:style w:type="paragraph" w:customStyle="1" w:styleId="DefinitionList">
    <w:name w:val="Definition List"/>
    <w:basedOn w:val="Normal"/>
    <w:next w:val="DefinitionTerm"/>
    <w:pPr>
      <w:widowControl w:val="0"/>
      <w:snapToGrid w:val="0"/>
      <w:ind w:left="360"/>
    </w:pPr>
    <w:rPr>
      <w:rFonts w:ascii="Arial" w:hAnsi="Arial" w:cs="Arial"/>
      <w:sz w:val="22"/>
      <w:szCs w:val="20"/>
    </w:rPr>
  </w:style>
  <w:style w:type="paragraph" w:customStyle="1" w:styleId="H1">
    <w:name w:val="H1"/>
    <w:basedOn w:val="Normal"/>
    <w:next w:val="Normal"/>
    <w:pPr>
      <w:widowControl w:val="0"/>
      <w:snapToGrid w:val="0"/>
      <w:spacing w:before="100" w:after="100"/>
      <w:outlineLvl w:val="1"/>
    </w:pPr>
    <w:rPr>
      <w:rFonts w:ascii="Arial" w:hAnsi="Arial" w:cs="Arial"/>
      <w:b/>
      <w:kern w:val="36"/>
      <w:sz w:val="48"/>
      <w:szCs w:val="20"/>
    </w:rPr>
  </w:style>
  <w:style w:type="paragraph" w:customStyle="1" w:styleId="H2">
    <w:name w:val="H2"/>
    <w:basedOn w:val="Normal"/>
    <w:next w:val="Normal"/>
    <w:pPr>
      <w:widowControl w:val="0"/>
      <w:snapToGrid w:val="0"/>
      <w:spacing w:before="100" w:after="100"/>
      <w:outlineLvl w:val="2"/>
    </w:pPr>
    <w:rPr>
      <w:rFonts w:ascii="Arial" w:hAnsi="Arial" w:cs="Arial"/>
      <w:b/>
      <w:sz w:val="36"/>
      <w:szCs w:val="20"/>
    </w:rPr>
  </w:style>
  <w:style w:type="paragraph" w:customStyle="1" w:styleId="H3">
    <w:name w:val="H3"/>
    <w:basedOn w:val="Normal"/>
    <w:next w:val="Normal"/>
    <w:pPr>
      <w:widowControl w:val="0"/>
      <w:snapToGrid w:val="0"/>
      <w:spacing w:before="100" w:after="100"/>
      <w:outlineLvl w:val="3"/>
    </w:pPr>
    <w:rPr>
      <w:rFonts w:ascii="Arial" w:hAnsi="Arial" w:cs="Arial"/>
      <w:b/>
      <w:sz w:val="28"/>
      <w:szCs w:val="20"/>
    </w:rPr>
  </w:style>
  <w:style w:type="paragraph" w:customStyle="1" w:styleId="H4">
    <w:name w:val="H4"/>
    <w:basedOn w:val="Normal"/>
    <w:next w:val="Normal"/>
    <w:pPr>
      <w:widowControl w:val="0"/>
      <w:snapToGrid w:val="0"/>
      <w:spacing w:before="100" w:after="100"/>
      <w:outlineLvl w:val="4"/>
    </w:pPr>
    <w:rPr>
      <w:rFonts w:ascii="Arial" w:hAnsi="Arial" w:cs="Arial"/>
      <w:b/>
      <w:sz w:val="22"/>
      <w:szCs w:val="20"/>
    </w:rPr>
  </w:style>
  <w:style w:type="paragraph" w:customStyle="1" w:styleId="H5">
    <w:name w:val="H5"/>
    <w:basedOn w:val="Normal"/>
    <w:next w:val="Normal"/>
    <w:pPr>
      <w:widowControl w:val="0"/>
      <w:snapToGrid w:val="0"/>
      <w:spacing w:before="100" w:after="100"/>
      <w:outlineLvl w:val="5"/>
    </w:pPr>
    <w:rPr>
      <w:rFonts w:ascii="Arial" w:hAnsi="Arial" w:cs="Arial"/>
      <w:b/>
      <w:sz w:val="20"/>
      <w:szCs w:val="20"/>
    </w:rPr>
  </w:style>
  <w:style w:type="paragraph" w:customStyle="1" w:styleId="H6">
    <w:name w:val="H6"/>
    <w:basedOn w:val="Normal"/>
    <w:next w:val="Normal"/>
    <w:pPr>
      <w:widowControl w:val="0"/>
      <w:snapToGrid w:val="0"/>
      <w:spacing w:before="100" w:after="100"/>
      <w:outlineLvl w:val="6"/>
    </w:pPr>
    <w:rPr>
      <w:rFonts w:ascii="Arial" w:hAnsi="Arial" w:cs="Arial"/>
      <w:b/>
      <w:sz w:val="16"/>
      <w:szCs w:val="20"/>
    </w:rPr>
  </w:style>
  <w:style w:type="paragraph" w:customStyle="1" w:styleId="Address">
    <w:name w:val="Address"/>
    <w:basedOn w:val="Normal"/>
    <w:next w:val="Normal"/>
    <w:pPr>
      <w:widowControl w:val="0"/>
      <w:snapToGrid w:val="0"/>
    </w:pPr>
    <w:rPr>
      <w:rFonts w:ascii="Arial" w:hAnsi="Arial" w:cs="Arial"/>
      <w:i/>
      <w:sz w:val="22"/>
      <w:szCs w:val="20"/>
    </w:rPr>
  </w:style>
  <w:style w:type="paragraph" w:customStyle="1" w:styleId="Blockquote">
    <w:name w:val="Blockquote"/>
    <w:basedOn w:val="Normal"/>
    <w:uiPriority w:val="99"/>
    <w:pPr>
      <w:widowControl w:val="0"/>
      <w:snapToGrid w:val="0"/>
      <w:spacing w:before="100" w:after="100"/>
      <w:ind w:left="360" w:right="360"/>
    </w:pPr>
    <w:rPr>
      <w:rFonts w:ascii="Arial" w:hAnsi="Arial" w:cs="Arial"/>
      <w:sz w:val="22"/>
      <w:szCs w:val="20"/>
    </w:rPr>
  </w:style>
  <w:style w:type="paragraph" w:customStyle="1" w:styleId="Preformatted">
    <w:name w:val="Preformatted"/>
    <w:basedOn w:val="Normal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</w:pPr>
    <w:rPr>
      <w:rFonts w:ascii="Courier New" w:hAnsi="Courier New" w:cs="Arial"/>
      <w:sz w:val="20"/>
      <w:szCs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pPr>
      <w:widowControl w:val="0"/>
      <w:snapToGrid w:val="0"/>
      <w:spacing w:before="100" w:after="100"/>
    </w:pPr>
    <w:rPr>
      <w:rFonts w:ascii="Arial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widowControl w:val="0"/>
      <w:snapToGrid w:val="0"/>
      <w:spacing w:before="120" w:after="120"/>
    </w:pPr>
    <w:rPr>
      <w:rFonts w:ascii="Arial" w:hAnsi="Arial" w:cs="Arial"/>
      <w:sz w:val="22"/>
      <w:szCs w:val="20"/>
    </w:rPr>
  </w:style>
  <w:style w:type="paragraph" w:styleId="List2">
    <w:name w:val="List 2"/>
    <w:basedOn w:val="Normal"/>
    <w:unhideWhenUsed/>
    <w:rsid w:val="00BE196B"/>
    <w:pPr>
      <w:widowControl w:val="0"/>
      <w:snapToGrid w:val="0"/>
      <w:spacing w:before="120" w:after="120"/>
      <w:ind w:left="360"/>
    </w:pPr>
    <w:rPr>
      <w:rFonts w:ascii="Arial" w:hAnsi="Arial" w:cs="Arial"/>
      <w:sz w:val="20"/>
      <w:szCs w:val="20"/>
    </w:rPr>
  </w:style>
  <w:style w:type="paragraph" w:styleId="List3">
    <w:name w:val="List 3"/>
    <w:basedOn w:val="Normal"/>
    <w:link w:val="List3Char"/>
    <w:unhideWhenUsed/>
    <w:qFormat/>
    <w:rsid w:val="00BE196B"/>
    <w:pPr>
      <w:widowControl w:val="0"/>
      <w:snapToGrid w:val="0"/>
      <w:spacing w:before="120" w:after="120"/>
      <w:ind w:left="720"/>
    </w:pPr>
    <w:rPr>
      <w:rFonts w:ascii="Arial" w:hAnsi="Arial" w:cs="Arial"/>
      <w:sz w:val="20"/>
      <w:szCs w:val="20"/>
    </w:rPr>
  </w:style>
  <w:style w:type="paragraph" w:styleId="List4">
    <w:name w:val="List 4"/>
    <w:basedOn w:val="Normal"/>
    <w:rsid w:val="00195EAD"/>
    <w:pPr>
      <w:widowControl w:val="0"/>
      <w:snapToGrid w:val="0"/>
      <w:spacing w:before="120" w:after="120"/>
      <w:ind w:left="1080"/>
    </w:pPr>
    <w:rPr>
      <w:rFonts w:ascii="Arial" w:hAnsi="Arial" w:cs="Arial"/>
      <w:sz w:val="20"/>
      <w:szCs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932E8B"/>
    <w:pPr>
      <w:widowControl w:val="0"/>
      <w:snapToGrid w:val="0"/>
      <w:spacing w:before="100" w:after="100"/>
    </w:pPr>
    <w:rPr>
      <w:rFonts w:ascii="Arial" w:hAnsi="Arial" w:cs="Arial"/>
      <w:b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32E8B"/>
    <w:pPr>
      <w:widowControl w:val="0"/>
      <w:snapToGrid w:val="0"/>
      <w:spacing w:before="100" w:after="100"/>
      <w:ind w:left="220"/>
    </w:pPr>
    <w:rPr>
      <w:rFonts w:ascii="Arial" w:hAnsi="Arial" w:cs="Arial"/>
      <w:b/>
      <w:sz w:val="22"/>
      <w:szCs w:val="2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932E8B"/>
    <w:pPr>
      <w:keepNext/>
      <w:keepLines/>
      <w:widowControl/>
      <w:snapToGrid/>
      <w:spacing w:before="240" w:after="0" w:line="259" w:lineRule="auto"/>
      <w:outlineLvl w:val="9"/>
    </w:pPr>
    <w:rPr>
      <w:rFonts w:cstheme="majorBidi"/>
      <w:bCs w:val="0"/>
      <w:color w:val="000000" w:themeColor="text1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32E8B"/>
    <w:pPr>
      <w:spacing w:after="100"/>
      <w:ind w:left="480"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cquisition.gov/dfars/part-225-foreign-acquisition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KM\Marian%206-17-19%20outdated-back-up%20only\SOFARS%20final%20complete\completed%20styles\SOFARS%20styles%20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CE347D7E474A49A5703FA3028C9C2B" ma:contentTypeVersion="1" ma:contentTypeDescription="Create a new document." ma:contentTypeScope="" ma:versionID="d1e57effb64a3438e27d9ae9421afbd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606014966f62809c3aa1590cf73b2e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67D412-7BBC-4841-94BC-2163B154EA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EC160-7FFF-4667-BC65-CACAF0765D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E65BDF-BE5F-455A-88DF-5EFA1A4B4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SOFARS styles v2</Template>
  <TotalTime>1</TotalTime>
  <Pages>1</Pages>
  <Words>130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5604 - ADMINISTRATIVE MATTERS</vt:lpstr>
    </vt:vector>
  </TitlesOfParts>
  <Company>Technautics, Inc.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5625 - FOREIGN ACQUISITION</dc:title>
  <dc:creator>Duchesne, Marian B NH-IIICIV USSOCOM SOCOM (USA)</dc:creator>
  <cp:lastModifiedBy>Duchesne, Marian B CIV USSOCOM SOCOM (USA)</cp:lastModifiedBy>
  <cp:revision>3</cp:revision>
  <cp:lastPrinted>2010-02-11T14:15:00Z</cp:lastPrinted>
  <dcterms:created xsi:type="dcterms:W3CDTF">2021-06-24T10:58:00Z</dcterms:created>
  <dcterms:modified xsi:type="dcterms:W3CDTF">2021-06-24T11:01:00Z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0x0101000ACE347D7E474A49A5703FA3028C9C2B</vt:lpwstr>
  </property>
</Properties>
</file>