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BM5628" w:displacedByCustomXml="next"/>
    <w:bookmarkEnd w:id="0" w:displacedByCustomXml="next"/>
    <w:sdt>
      <w:sdtPr>
        <w:id w:val="-1164783680"/>
        <w:docPartObj>
          <w:docPartGallery w:val="Table of Contents"/>
          <w:docPartUnique/>
        </w:docPartObj>
      </w:sdtPr>
      <w:sdtEndPr>
        <w:rPr>
          <w:rFonts w:ascii="Times New Roman" w:eastAsia="Times New Roman" w:hAnsi="Times New Roman" w:cs="Times New Roman"/>
          <w:b/>
          <w:bCs/>
          <w:noProof/>
          <w:color w:val="auto"/>
          <w:sz w:val="20"/>
          <w:szCs w:val="24"/>
        </w:rPr>
      </w:sdtEndPr>
      <w:sdtContent>
        <w:p w14:paraId="319AEACC" w14:textId="72E65750" w:rsidR="00E92274" w:rsidRPr="00E92274" w:rsidRDefault="00E92274">
          <w:pPr>
            <w:pStyle w:val="TOCHeading"/>
            <w:rPr>
              <w:rFonts w:ascii="Arial" w:hAnsi="Arial" w:cs="Arial"/>
              <w:b/>
              <w:bCs/>
              <w:color w:val="000000" w:themeColor="text1"/>
            </w:rPr>
          </w:pPr>
          <w:r w:rsidRPr="00E92274">
            <w:rPr>
              <w:rFonts w:ascii="Arial" w:hAnsi="Arial" w:cs="Arial"/>
              <w:b/>
              <w:bCs/>
              <w:color w:val="000000" w:themeColor="text1"/>
            </w:rPr>
            <w:t>Table of Contents</w:t>
          </w:r>
        </w:p>
        <w:p w14:paraId="7C626229" w14:textId="75C4E30C" w:rsidR="00E92274" w:rsidRDefault="00E92274">
          <w:pPr>
            <w:pStyle w:val="TOC1"/>
            <w:tabs>
              <w:tab w:val="right" w:leader="dot" w:pos="10214"/>
            </w:tabs>
            <w:rPr>
              <w:rFonts w:asciiTheme="minorHAnsi" w:eastAsiaTheme="minorEastAsia" w:hAnsiTheme="minorHAnsi" w:cstheme="minorBidi"/>
              <w:b w:val="0"/>
              <w:noProof/>
              <w:szCs w:val="22"/>
            </w:rPr>
          </w:pPr>
          <w:r>
            <w:rPr>
              <w:b w:val="0"/>
            </w:rPr>
            <w:fldChar w:fldCharType="begin"/>
          </w:r>
          <w:r>
            <w:rPr>
              <w:b w:val="0"/>
            </w:rPr>
            <w:instrText xml:space="preserve"> TOC \o "1-4" \n \h \z \u </w:instrText>
          </w:r>
          <w:r>
            <w:rPr>
              <w:b w:val="0"/>
            </w:rPr>
            <w:fldChar w:fldCharType="separate"/>
          </w:r>
          <w:hyperlink w:anchor="_Toc75410974" w:history="1">
            <w:r w:rsidRPr="00F16C72">
              <w:rPr>
                <w:rStyle w:val="Hyperlink"/>
                <w:bCs/>
                <w:noProof/>
              </w:rPr>
              <w:t>SOFARS PART 5628 - BONDS AND INSURANCE</w:t>
            </w:r>
          </w:hyperlink>
        </w:p>
        <w:p w14:paraId="655CA864" w14:textId="53538D56" w:rsidR="00E92274" w:rsidRDefault="00E92274">
          <w:pPr>
            <w:pStyle w:val="TOC1"/>
            <w:tabs>
              <w:tab w:val="right" w:leader="dot" w:pos="10214"/>
            </w:tabs>
            <w:rPr>
              <w:rFonts w:asciiTheme="minorHAnsi" w:eastAsiaTheme="minorEastAsia" w:hAnsiTheme="minorHAnsi" w:cstheme="minorBidi"/>
              <w:b w:val="0"/>
              <w:noProof/>
              <w:szCs w:val="22"/>
            </w:rPr>
          </w:pPr>
          <w:hyperlink w:anchor="_Toc75410975" w:history="1">
            <w:r w:rsidRPr="00F16C72">
              <w:rPr>
                <w:rStyle w:val="Hyperlink"/>
                <w:noProof/>
              </w:rPr>
              <w:t>SOFARS PART 5628 BONDS AND INSURANCE</w:t>
            </w:r>
          </w:hyperlink>
        </w:p>
        <w:p w14:paraId="2EB4FAF1" w14:textId="141BF5F3" w:rsidR="00E92274" w:rsidRDefault="00E92274">
          <w:pPr>
            <w:pStyle w:val="TOC2"/>
            <w:tabs>
              <w:tab w:val="right" w:leader="dot" w:pos="10214"/>
            </w:tabs>
            <w:rPr>
              <w:rFonts w:asciiTheme="minorHAnsi" w:eastAsiaTheme="minorEastAsia" w:hAnsiTheme="minorHAnsi" w:cstheme="minorBidi"/>
              <w:b w:val="0"/>
              <w:noProof/>
              <w:szCs w:val="22"/>
            </w:rPr>
          </w:pPr>
          <w:hyperlink w:anchor="_Toc75410976" w:history="1">
            <w:r w:rsidRPr="00F16C72">
              <w:rPr>
                <w:rStyle w:val="Hyperlink"/>
                <w:noProof/>
              </w:rPr>
              <w:t>SUBPART 5628.1 BONDS</w:t>
            </w:r>
          </w:hyperlink>
        </w:p>
        <w:p w14:paraId="700BB7A1" w14:textId="0228E100" w:rsidR="00E92274" w:rsidRDefault="00E92274">
          <w:pPr>
            <w:pStyle w:val="TOC3"/>
            <w:tabs>
              <w:tab w:val="right" w:leader="dot" w:pos="10214"/>
            </w:tabs>
            <w:rPr>
              <w:rFonts w:asciiTheme="minorHAnsi" w:eastAsiaTheme="minorEastAsia" w:hAnsiTheme="minorHAnsi" w:cstheme="minorBidi"/>
              <w:noProof/>
              <w:szCs w:val="22"/>
            </w:rPr>
          </w:pPr>
          <w:hyperlink w:anchor="_Toc75410977" w:history="1">
            <w:r w:rsidRPr="00F16C72">
              <w:rPr>
                <w:rStyle w:val="Hyperlink"/>
                <w:noProof/>
              </w:rPr>
              <w:t>5628.103 Performance and Payment Bonds for Other than Construction Contracts.</w:t>
            </w:r>
          </w:hyperlink>
        </w:p>
        <w:p w14:paraId="0C9091A7" w14:textId="110AE3EB" w:rsidR="00E92274" w:rsidRDefault="00E92274">
          <w:pPr>
            <w:pStyle w:val="TOC4"/>
            <w:tabs>
              <w:tab w:val="right" w:leader="dot" w:pos="10214"/>
            </w:tabs>
            <w:rPr>
              <w:rFonts w:asciiTheme="minorHAnsi" w:eastAsiaTheme="minorEastAsia" w:hAnsiTheme="minorHAnsi" w:cstheme="minorBidi"/>
              <w:noProof/>
              <w:szCs w:val="22"/>
            </w:rPr>
          </w:pPr>
          <w:hyperlink w:anchor="_Toc75410978" w:history="1">
            <w:r w:rsidRPr="00F16C72">
              <w:rPr>
                <w:rStyle w:val="Hyperlink"/>
                <w:noProof/>
              </w:rPr>
              <w:t>5628.103-1 General.</w:t>
            </w:r>
          </w:hyperlink>
        </w:p>
        <w:p w14:paraId="21307861" w14:textId="638DEFCF" w:rsidR="00E92274" w:rsidRDefault="00E92274">
          <w:pPr>
            <w:pStyle w:val="TOC3"/>
            <w:tabs>
              <w:tab w:val="right" w:leader="dot" w:pos="10214"/>
            </w:tabs>
            <w:rPr>
              <w:rFonts w:asciiTheme="minorHAnsi" w:eastAsiaTheme="minorEastAsia" w:hAnsiTheme="minorHAnsi" w:cstheme="minorBidi"/>
              <w:noProof/>
              <w:szCs w:val="22"/>
            </w:rPr>
          </w:pPr>
          <w:hyperlink w:anchor="_Toc75410979" w:history="1">
            <w:r w:rsidRPr="00F16C72">
              <w:rPr>
                <w:rStyle w:val="Hyperlink"/>
                <w:noProof/>
              </w:rPr>
              <w:t>5628.106 Administration.</w:t>
            </w:r>
          </w:hyperlink>
        </w:p>
        <w:p w14:paraId="5B86EA5E" w14:textId="43F024CD" w:rsidR="00E92274" w:rsidRDefault="00E92274">
          <w:pPr>
            <w:pStyle w:val="TOC4"/>
            <w:tabs>
              <w:tab w:val="right" w:leader="dot" w:pos="10214"/>
            </w:tabs>
            <w:rPr>
              <w:rFonts w:asciiTheme="minorHAnsi" w:eastAsiaTheme="minorEastAsia" w:hAnsiTheme="minorHAnsi" w:cstheme="minorBidi"/>
              <w:noProof/>
              <w:szCs w:val="22"/>
            </w:rPr>
          </w:pPr>
          <w:hyperlink w:anchor="_Toc75410980" w:history="1">
            <w:r w:rsidRPr="00F16C72">
              <w:rPr>
                <w:rStyle w:val="Hyperlink"/>
                <w:noProof/>
              </w:rPr>
              <w:t>5628.106-90 Review of Bonds and Notification of Surety.</w:t>
            </w:r>
          </w:hyperlink>
        </w:p>
        <w:p w14:paraId="61D9FCC7" w14:textId="716E0913" w:rsidR="00E92274" w:rsidRDefault="00E92274">
          <w:pPr>
            <w:pStyle w:val="TOC2"/>
            <w:tabs>
              <w:tab w:val="right" w:leader="dot" w:pos="10214"/>
            </w:tabs>
            <w:rPr>
              <w:rFonts w:asciiTheme="minorHAnsi" w:eastAsiaTheme="minorEastAsia" w:hAnsiTheme="minorHAnsi" w:cstheme="minorBidi"/>
              <w:b w:val="0"/>
              <w:noProof/>
              <w:szCs w:val="22"/>
            </w:rPr>
          </w:pPr>
          <w:hyperlink w:anchor="_Toc75410981" w:history="1">
            <w:r w:rsidRPr="00F16C72">
              <w:rPr>
                <w:rStyle w:val="Hyperlink"/>
                <w:noProof/>
              </w:rPr>
              <w:t>SUBPART 5628.3 INSURANCE</w:t>
            </w:r>
          </w:hyperlink>
        </w:p>
        <w:p w14:paraId="02C335F7" w14:textId="4B2459CD" w:rsidR="00E92274" w:rsidRDefault="00E92274">
          <w:pPr>
            <w:pStyle w:val="TOC3"/>
            <w:tabs>
              <w:tab w:val="right" w:leader="dot" w:pos="10214"/>
            </w:tabs>
            <w:rPr>
              <w:rFonts w:asciiTheme="minorHAnsi" w:eastAsiaTheme="minorEastAsia" w:hAnsiTheme="minorHAnsi" w:cstheme="minorBidi"/>
              <w:noProof/>
              <w:szCs w:val="22"/>
            </w:rPr>
          </w:pPr>
          <w:hyperlink w:anchor="_Toc75410982" w:history="1">
            <w:r w:rsidRPr="00F16C72">
              <w:rPr>
                <w:rStyle w:val="Hyperlink"/>
                <w:noProof/>
              </w:rPr>
              <w:t>5628.310 Contract Clauses for Work on a Government Installation.</w:t>
            </w:r>
          </w:hyperlink>
        </w:p>
        <w:p w14:paraId="15F9E5C7" w14:textId="2BCF7125" w:rsidR="00E92274" w:rsidRDefault="00E92274">
          <w:pPr>
            <w:pStyle w:val="TOC3"/>
            <w:tabs>
              <w:tab w:val="right" w:leader="dot" w:pos="10214"/>
            </w:tabs>
            <w:rPr>
              <w:rFonts w:asciiTheme="minorHAnsi" w:eastAsiaTheme="minorEastAsia" w:hAnsiTheme="minorHAnsi" w:cstheme="minorBidi"/>
              <w:noProof/>
              <w:szCs w:val="22"/>
            </w:rPr>
          </w:pPr>
          <w:hyperlink w:anchor="_Toc75410983" w:history="1">
            <w:r w:rsidRPr="00F16C72">
              <w:rPr>
                <w:rStyle w:val="Hyperlink"/>
                <w:noProof/>
              </w:rPr>
              <w:t>5628.370 Additional Clauses.</w:t>
            </w:r>
          </w:hyperlink>
        </w:p>
        <w:p w14:paraId="1F2E6DA7" w14:textId="2EF0BABE" w:rsidR="00E92274" w:rsidRDefault="00E92274">
          <w:r>
            <w:rPr>
              <w:rFonts w:ascii="Arial" w:hAnsi="Arial" w:cs="Arial"/>
              <w:b/>
              <w:sz w:val="22"/>
              <w:szCs w:val="20"/>
            </w:rPr>
            <w:fldChar w:fldCharType="end"/>
          </w:r>
        </w:p>
      </w:sdtContent>
    </w:sdt>
    <w:p w14:paraId="2B736179" w14:textId="77777777" w:rsidR="001D3D6A" w:rsidRDefault="001D3D6A" w:rsidP="001D3D6A">
      <w:pPr>
        <w:pStyle w:val="BodyText"/>
        <w:jc w:val="left"/>
        <w:rPr>
          <w:sz w:val="24"/>
        </w:rPr>
      </w:pPr>
    </w:p>
    <w:p w14:paraId="351FF29E" w14:textId="77777777" w:rsidR="001D3D6A" w:rsidRDefault="001D3D6A" w:rsidP="001D3D6A">
      <w:pPr>
        <w:pStyle w:val="Heading1"/>
      </w:pPr>
      <w:bookmarkStart w:id="1" w:name="_Toc75410975"/>
      <w:r>
        <w:t>SOFARS PART 5628</w:t>
      </w:r>
      <w:r>
        <w:br/>
        <w:t>BONDS AND INSURANCE</w:t>
      </w:r>
      <w:bookmarkEnd w:id="1"/>
    </w:p>
    <w:p w14:paraId="25AB5F68" w14:textId="77777777" w:rsidR="001D3D6A" w:rsidRDefault="001D3D6A" w:rsidP="001D3D6A">
      <w:pPr>
        <w:rPr>
          <w:rFonts w:ascii="Arial" w:hAnsi="Arial" w:cs="Arial"/>
        </w:rPr>
      </w:pPr>
    </w:p>
    <w:p w14:paraId="3A77E19D" w14:textId="77777777" w:rsidR="001D3D6A" w:rsidRDefault="001D3D6A" w:rsidP="001D3D6A">
      <w:pPr>
        <w:pStyle w:val="Heading2"/>
      </w:pPr>
      <w:bookmarkStart w:id="2" w:name="BM1"/>
      <w:bookmarkStart w:id="3" w:name="_Toc75410976"/>
      <w:bookmarkEnd w:id="2"/>
      <w:r>
        <w:t>SUBPART 5628.1 BONDS</w:t>
      </w:r>
      <w:bookmarkEnd w:id="3"/>
    </w:p>
    <w:p w14:paraId="24170CCB" w14:textId="77777777" w:rsidR="001D3D6A" w:rsidRDefault="001D3D6A" w:rsidP="001D3D6A">
      <w:pPr>
        <w:pStyle w:val="Heading3"/>
      </w:pPr>
      <w:bookmarkStart w:id="4" w:name="BM103"/>
      <w:bookmarkStart w:id="5" w:name="_Toc75410977"/>
      <w:bookmarkEnd w:id="4"/>
      <w:r>
        <w:t>5628.103 Performance and Payment Bonds for Other than Construction Contracts.</w:t>
      </w:r>
      <w:bookmarkEnd w:id="5"/>
    </w:p>
    <w:p w14:paraId="23528989" w14:textId="77777777" w:rsidR="001D3D6A" w:rsidRDefault="001D3D6A" w:rsidP="001D3D6A">
      <w:pPr>
        <w:pStyle w:val="Heading4"/>
      </w:pPr>
      <w:bookmarkStart w:id="6" w:name="BM103_1"/>
      <w:bookmarkStart w:id="7" w:name="_Toc75410978"/>
      <w:bookmarkEnd w:id="6"/>
      <w:r>
        <w:t>5628.103-1 General.</w:t>
      </w:r>
      <w:bookmarkEnd w:id="7"/>
    </w:p>
    <w:p w14:paraId="307312AE" w14:textId="77777777" w:rsidR="001D3D6A" w:rsidRDefault="001D3D6A" w:rsidP="001D3D6A">
      <w:pPr>
        <w:spacing w:before="0" w:after="120"/>
        <w:rPr>
          <w:rFonts w:ascii="Arial" w:hAnsi="Arial" w:cs="Arial"/>
        </w:rPr>
      </w:pPr>
      <w:r>
        <w:rPr>
          <w:rFonts w:ascii="Arial" w:hAnsi="Arial" w:cs="Arial"/>
        </w:rPr>
        <w:t xml:space="preserve">Any decision to require performance and payment bonds for supply or service contracts must be approved by the Chief, Contracting Office, shall be obtained prior to issuance of the solicitation. The contract file will contain complete documentation of the rationale for the decision to require bonds. </w:t>
      </w:r>
    </w:p>
    <w:p w14:paraId="49A062BE" w14:textId="77777777" w:rsidR="001D3D6A" w:rsidRDefault="001D3D6A" w:rsidP="001D3D6A">
      <w:pPr>
        <w:pStyle w:val="Heading3"/>
      </w:pPr>
      <w:bookmarkStart w:id="8" w:name="BM106"/>
      <w:bookmarkStart w:id="9" w:name="_Toc75410979"/>
      <w:bookmarkEnd w:id="8"/>
      <w:r>
        <w:t>5628.106 Administration.</w:t>
      </w:r>
      <w:bookmarkEnd w:id="9"/>
    </w:p>
    <w:p w14:paraId="28F90272" w14:textId="77777777" w:rsidR="001D3D6A" w:rsidRDefault="001D3D6A" w:rsidP="001D3D6A">
      <w:pPr>
        <w:pStyle w:val="Heading4"/>
      </w:pPr>
      <w:bookmarkStart w:id="10" w:name="BM106_90"/>
      <w:bookmarkStart w:id="11" w:name="_Toc75410980"/>
      <w:bookmarkEnd w:id="10"/>
      <w:r>
        <w:t>5628.106-90 Review of Bonds and Notification of Surety.</w:t>
      </w:r>
      <w:bookmarkEnd w:id="11"/>
    </w:p>
    <w:p w14:paraId="73DF86B5" w14:textId="77777777" w:rsidR="001D3D6A" w:rsidRDefault="001D3D6A" w:rsidP="001D3D6A">
      <w:pPr>
        <w:spacing w:before="0" w:after="120"/>
        <w:rPr>
          <w:rFonts w:ascii="Arial" w:hAnsi="Arial" w:cs="Arial"/>
        </w:rPr>
      </w:pPr>
      <w:r>
        <w:rPr>
          <w:rFonts w:ascii="Arial" w:hAnsi="Arial" w:cs="Arial"/>
        </w:rPr>
        <w:t>All performance and payment bonds and all consents of surety shall be reviewed using the Air Force form 3012 or similar format. The review and documented in the contract file. When doubt of legal sufficiency exists, legal counsel shall be sought</w:t>
      </w:r>
      <w:r>
        <w:rPr>
          <w:rFonts w:ascii="Arial" w:hAnsi="Arial" w:cs="Arial"/>
          <w:color w:val="800080"/>
        </w:rPr>
        <w:t xml:space="preserve">. </w:t>
      </w:r>
    </w:p>
    <w:p w14:paraId="613FCFE7" w14:textId="77777777" w:rsidR="001D3D6A" w:rsidRDefault="001D3D6A" w:rsidP="001D3D6A">
      <w:pPr>
        <w:pStyle w:val="Heading2"/>
      </w:pPr>
      <w:bookmarkStart w:id="12" w:name="BM3"/>
      <w:bookmarkStart w:id="13" w:name="_Toc75410981"/>
      <w:bookmarkEnd w:id="12"/>
      <w:r>
        <w:t>SUBPART 5628.3 INSURANCE</w:t>
      </w:r>
      <w:bookmarkEnd w:id="13"/>
    </w:p>
    <w:p w14:paraId="6817BE63" w14:textId="77777777" w:rsidR="001D3D6A" w:rsidRPr="0001017B" w:rsidRDefault="001D3D6A" w:rsidP="001D3D6A">
      <w:pPr>
        <w:pStyle w:val="Heading3"/>
      </w:pPr>
      <w:bookmarkStart w:id="14" w:name="BM310"/>
      <w:bookmarkStart w:id="15" w:name="_Toc75410982"/>
      <w:bookmarkEnd w:id="14"/>
      <w:r w:rsidRPr="0001017B">
        <w:t>5628.310 Contract Clauses for Work on a Government Installation.</w:t>
      </w:r>
      <w:bookmarkEnd w:id="15"/>
    </w:p>
    <w:p w14:paraId="71EFC443" w14:textId="77777777" w:rsidR="001D3D6A" w:rsidRDefault="001D3D6A" w:rsidP="001D3D6A">
      <w:pPr>
        <w:spacing w:before="0" w:after="120"/>
        <w:rPr>
          <w:rFonts w:ascii="Arial" w:hAnsi="Arial" w:cs="Arial"/>
          <w:i/>
        </w:rPr>
      </w:pPr>
      <w:r>
        <w:rPr>
          <w:rFonts w:ascii="Arial" w:hAnsi="Arial" w:cs="Arial"/>
          <w:i/>
        </w:rPr>
        <w:t>(Revised August 2016)</w:t>
      </w:r>
    </w:p>
    <w:p w14:paraId="1649388D" w14:textId="77777777" w:rsidR="001D3D6A" w:rsidRPr="0001017B" w:rsidRDefault="001D3D6A" w:rsidP="001D3D6A">
      <w:pPr>
        <w:spacing w:before="0" w:after="120"/>
        <w:rPr>
          <w:rFonts w:ascii="Arial" w:hAnsi="Arial" w:cs="Arial"/>
          <w:szCs w:val="20"/>
        </w:rPr>
      </w:pPr>
      <w:r w:rsidRPr="0001017B">
        <w:rPr>
          <w:rFonts w:ascii="Arial" w:hAnsi="Arial" w:cs="Arial"/>
          <w:szCs w:val="20"/>
        </w:rPr>
        <w:t xml:space="preserve">Contracting officers shall insert a clause substantially the same as </w:t>
      </w:r>
      <w:hyperlink r:id="rId11" w:anchor="BM228_9000" w:history="1">
        <w:r w:rsidRPr="0001017B">
          <w:rPr>
            <w:rStyle w:val="Hyperlink"/>
            <w:rFonts w:ascii="Arial" w:hAnsi="Arial" w:cs="Arial"/>
            <w:szCs w:val="20"/>
          </w:rPr>
          <w:t>5652.228-9000</w:t>
        </w:r>
      </w:hyperlink>
      <w:r w:rsidRPr="0001017B">
        <w:rPr>
          <w:rFonts w:ascii="Arial" w:hAnsi="Arial" w:cs="Arial"/>
          <w:szCs w:val="20"/>
        </w:rPr>
        <w:t xml:space="preserve">, Required Insurance, in solicitations and </w:t>
      </w:r>
      <w:r w:rsidRPr="0001017B">
        <w:rPr>
          <w:rFonts w:ascii="Arial" w:hAnsi="Arial" w:cs="Arial"/>
          <w:color w:val="000000" w:themeColor="text1"/>
          <w:szCs w:val="20"/>
        </w:rPr>
        <w:t xml:space="preserve">contracts that include </w:t>
      </w:r>
      <w:hyperlink r:id="rId12" w:anchor="P565_109260" w:history="1">
        <w:r w:rsidRPr="005C077A">
          <w:rPr>
            <w:rStyle w:val="Hyperlink"/>
            <w:rFonts w:ascii="Arial" w:hAnsi="Arial" w:cs="Arial"/>
            <w:szCs w:val="20"/>
          </w:rPr>
          <w:t>52.228-5</w:t>
        </w:r>
      </w:hyperlink>
      <w:r w:rsidRPr="0001017B">
        <w:rPr>
          <w:rFonts w:ascii="Arial" w:hAnsi="Arial" w:cs="Arial"/>
          <w:color w:val="000000" w:themeColor="text1"/>
          <w:szCs w:val="20"/>
        </w:rPr>
        <w:t>, Insurance - Work on a Government Installation and requir</w:t>
      </w:r>
      <w:r>
        <w:rPr>
          <w:rFonts w:ascii="Arial" w:hAnsi="Arial" w:cs="Arial"/>
          <w:color w:val="000000" w:themeColor="text1"/>
          <w:szCs w:val="20"/>
        </w:rPr>
        <w:t>ing</w:t>
      </w:r>
      <w:r w:rsidRPr="0001017B">
        <w:rPr>
          <w:rFonts w:ascii="Arial" w:hAnsi="Arial" w:cs="Arial"/>
          <w:color w:val="000000" w:themeColor="text1"/>
          <w:szCs w:val="20"/>
        </w:rPr>
        <w:t xml:space="preserve"> work be performed on a government installation.</w:t>
      </w:r>
    </w:p>
    <w:p w14:paraId="120B3698" w14:textId="77777777" w:rsidR="001D3D6A" w:rsidRDefault="001D3D6A" w:rsidP="001D3D6A">
      <w:pPr>
        <w:pStyle w:val="Heading3"/>
      </w:pPr>
      <w:bookmarkStart w:id="16" w:name="BM370"/>
      <w:bookmarkStart w:id="17" w:name="_Toc75410983"/>
      <w:bookmarkEnd w:id="16"/>
      <w:r>
        <w:t>5628.370 Additional Clauses.</w:t>
      </w:r>
      <w:bookmarkEnd w:id="17"/>
      <w:r>
        <w:t xml:space="preserve"> </w:t>
      </w:r>
    </w:p>
    <w:p w14:paraId="533A0FA1" w14:textId="77777777" w:rsidR="001D3D6A" w:rsidRDefault="001D3D6A" w:rsidP="001D3D6A">
      <w:pPr>
        <w:spacing w:before="0"/>
        <w:rPr>
          <w:rFonts w:ascii="Arial" w:hAnsi="Arial" w:cs="Arial"/>
          <w:i/>
        </w:rPr>
      </w:pPr>
      <w:r>
        <w:rPr>
          <w:rFonts w:ascii="Arial" w:hAnsi="Arial" w:cs="Arial"/>
          <w:i/>
        </w:rPr>
        <w:t>(Revised December 2011)</w:t>
      </w:r>
    </w:p>
    <w:p w14:paraId="757665FB" w14:textId="77777777" w:rsidR="001D3D6A" w:rsidRDefault="001D3D6A" w:rsidP="001D3D6A">
      <w:pPr>
        <w:pStyle w:val="List1"/>
      </w:pPr>
      <w:r>
        <w:t xml:space="preserve">(g) For contracts utilizing the clauses specified in </w:t>
      </w:r>
      <w:hyperlink r:id="rId13" w:anchor="DFARS-228.370" w:history="1">
        <w:r>
          <w:rPr>
            <w:rStyle w:val="Hyperlink"/>
          </w:rPr>
          <w:t>DFARS 228.370</w:t>
        </w:r>
      </w:hyperlink>
      <w:r>
        <w:t>, paragraphs (b) and (c), the Contracting Officer is delegated the authority to appoint the Ground Flight Representative (GFR).</w:t>
      </w:r>
    </w:p>
    <w:p w14:paraId="5A334DDC" w14:textId="77777777" w:rsidR="001D3D6A" w:rsidRDefault="001D3D6A" w:rsidP="001D3D6A">
      <w:pPr>
        <w:rPr>
          <w:rStyle w:val="Hyperlink"/>
          <w:color w:val="auto"/>
          <w:u w:val="none"/>
        </w:rPr>
      </w:pPr>
    </w:p>
    <w:p w14:paraId="7D3EDE8A" w14:textId="77777777" w:rsidR="001D3D6A" w:rsidRDefault="001D3D6A" w:rsidP="001D3D6A">
      <w:pPr>
        <w:rPr>
          <w:rStyle w:val="Hyperlink"/>
          <w:color w:val="auto"/>
          <w:u w:val="none"/>
        </w:rPr>
      </w:pPr>
    </w:p>
    <w:p w14:paraId="6FEC4A5E" w14:textId="77777777" w:rsidR="001D3D6A" w:rsidRPr="00FE0859" w:rsidRDefault="00A92BA0" w:rsidP="001D3D6A">
      <w:pPr>
        <w:spacing w:before="0" w:after="0"/>
        <w:rPr>
          <w:rStyle w:val="Hyperlink"/>
          <w:rFonts w:ascii="Arial" w:hAnsi="Arial" w:cs="Arial"/>
          <w:color w:val="auto"/>
          <w:u w:val="none"/>
        </w:rPr>
      </w:pPr>
      <w:hyperlink r:id="rId14" w:anchor="P2347_193284" w:history="1">
        <w:r w:rsidR="001D3D6A" w:rsidRPr="00FE0859">
          <w:rPr>
            <w:rStyle w:val="Hyperlink"/>
            <w:rFonts w:ascii="Arial" w:hAnsi="Arial" w:cs="Arial"/>
            <w:color w:val="auto"/>
            <w:u w:val="none"/>
          </w:rPr>
          <w:t>HQ, United States Special Operations Command</w:t>
        </w:r>
        <w:r w:rsidR="001D3D6A" w:rsidRPr="00FE0859">
          <w:rPr>
            <w:rStyle w:val="Hyperlink"/>
            <w:rFonts w:ascii="Arial" w:hAnsi="Arial" w:cs="Arial"/>
            <w:color w:val="auto"/>
            <w:u w:val="none"/>
          </w:rPr>
          <w:br/>
        </w:r>
        <w:r w:rsidR="001D3D6A" w:rsidRPr="00FE0859">
          <w:rPr>
            <w:rStyle w:val="Hyperlink"/>
            <w:rFonts w:ascii="Arial" w:hAnsi="Arial" w:cs="Arial"/>
            <w:color w:val="auto"/>
            <w:u w:val="none"/>
          </w:rPr>
          <w:lastRenderedPageBreak/>
          <w:t>Special Operations Forces Acquisition, Technology, and Logistics (SOF AT&amp;L)</w:t>
        </w:r>
      </w:hyperlink>
    </w:p>
    <w:p w14:paraId="56EDEA43" w14:textId="77777777" w:rsidR="001D3D6A" w:rsidRDefault="00A92BA0" w:rsidP="001D3D6A">
      <w:pPr>
        <w:spacing w:before="0" w:after="0"/>
        <w:rPr>
          <w:rStyle w:val="Hyperlink"/>
          <w:rFonts w:ascii="Arial" w:hAnsi="Arial" w:cs="Arial"/>
          <w:color w:val="auto"/>
          <w:u w:val="none"/>
        </w:rPr>
      </w:pPr>
      <w:hyperlink r:id="rId15" w:anchor="P2347_193284" w:history="1">
        <w:r w:rsidR="001D3D6A">
          <w:rPr>
            <w:rStyle w:val="Hyperlink"/>
            <w:rFonts w:ascii="Arial" w:hAnsi="Arial" w:cs="Arial"/>
            <w:color w:val="auto"/>
            <w:u w:val="none"/>
          </w:rPr>
          <w:t>SOFARS 5628</w:t>
        </w:r>
      </w:hyperlink>
    </w:p>
    <w:p w14:paraId="0040FEC2" w14:textId="77777777" w:rsidR="001D3D6A" w:rsidRPr="00FE0859" w:rsidRDefault="00A92BA0" w:rsidP="001D3D6A">
      <w:pPr>
        <w:spacing w:before="0" w:after="0"/>
        <w:rPr>
          <w:rStyle w:val="Hyperlink"/>
          <w:rFonts w:ascii="Arial" w:hAnsi="Arial" w:cs="Arial"/>
          <w:color w:val="auto"/>
          <w:u w:val="none"/>
        </w:rPr>
      </w:pPr>
      <w:hyperlink r:id="rId16" w:anchor="P2347_193284" w:history="1">
        <w:r w:rsidR="001D3D6A">
          <w:rPr>
            <w:rStyle w:val="Hyperlink"/>
            <w:rFonts w:ascii="Arial" w:hAnsi="Arial" w:cs="Arial"/>
            <w:color w:val="auto"/>
            <w:u w:val="none"/>
          </w:rPr>
          <w:t>February 2007</w:t>
        </w:r>
      </w:hyperlink>
    </w:p>
    <w:p w14:paraId="587A19F6" w14:textId="77777777" w:rsidR="007059C1" w:rsidRPr="00BE196B" w:rsidRDefault="007059C1" w:rsidP="00BE196B"/>
    <w:sectPr w:rsidR="007059C1" w:rsidRPr="00BE196B">
      <w:pgSz w:w="12240" w:h="15840"/>
      <w:pgMar w:top="1440" w:right="1008" w:bottom="720" w:left="1008" w:header="1440" w:footer="144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E73C54" w14:textId="77777777" w:rsidR="001D3D6A" w:rsidRDefault="001D3D6A">
      <w:r>
        <w:separator/>
      </w:r>
    </w:p>
  </w:endnote>
  <w:endnote w:type="continuationSeparator" w:id="0">
    <w:p w14:paraId="74C8F313" w14:textId="77777777" w:rsidR="001D3D6A" w:rsidRDefault="001D3D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42E921" w14:textId="77777777" w:rsidR="001D3D6A" w:rsidRDefault="001D3D6A">
      <w:r>
        <w:separator/>
      </w:r>
    </w:p>
  </w:footnote>
  <w:footnote w:type="continuationSeparator" w:id="0">
    <w:p w14:paraId="1EE89474" w14:textId="77777777" w:rsidR="001D3D6A" w:rsidRDefault="001D3D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B5B807E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6CA8D2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B5A700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BDE7B4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C9CB4C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3A64A8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5EA08E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4485D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BC0968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5D0D47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4D1C6A"/>
    <w:multiLevelType w:val="hybridMultilevel"/>
    <w:tmpl w:val="1D6E8396"/>
    <w:lvl w:ilvl="0" w:tplc="B02E47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87809A8"/>
    <w:multiLevelType w:val="hybridMultilevel"/>
    <w:tmpl w:val="51B057D2"/>
    <w:lvl w:ilvl="0" w:tplc="F3D03054">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0CF5848"/>
    <w:multiLevelType w:val="hybridMultilevel"/>
    <w:tmpl w:val="BD447040"/>
    <w:lvl w:ilvl="0" w:tplc="88FA77B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819782A"/>
    <w:multiLevelType w:val="hybridMultilevel"/>
    <w:tmpl w:val="526A0E46"/>
    <w:lvl w:ilvl="0" w:tplc="F0548470">
      <w:start w:val="1"/>
      <w:numFmt w:val="lowerRoman"/>
      <w:lvlText w:val="(%1)"/>
      <w:lvlJc w:val="left"/>
      <w:pPr>
        <w:ind w:left="1440" w:hanging="360"/>
      </w:pPr>
      <w:rPr>
        <w:b w:val="0"/>
        <w:sz w:val="2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828344B"/>
    <w:multiLevelType w:val="hybridMultilevel"/>
    <w:tmpl w:val="E21026E4"/>
    <w:lvl w:ilvl="0" w:tplc="D0587F82">
      <w:start w:val="1"/>
      <w:numFmt w:val="upperLetter"/>
      <w:lvlText w:val="(%1)"/>
      <w:lvlJc w:val="left"/>
      <w:pPr>
        <w:ind w:left="2160" w:hanging="360"/>
      </w:pPr>
      <w:rPr>
        <w:rFonts w:ascii="Arial" w:hAnsi="Arial" w:cs="Arial"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15:restartNumberingAfterBreak="0">
    <w:nsid w:val="2EB33D95"/>
    <w:multiLevelType w:val="hybridMultilevel"/>
    <w:tmpl w:val="957AFEE8"/>
    <w:lvl w:ilvl="0" w:tplc="B02E47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6B32B2C"/>
    <w:multiLevelType w:val="hybridMultilevel"/>
    <w:tmpl w:val="08B41EBE"/>
    <w:lvl w:ilvl="0" w:tplc="D7CA00B8">
      <w:start w:val="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1767D7E"/>
    <w:multiLevelType w:val="hybridMultilevel"/>
    <w:tmpl w:val="51105C20"/>
    <w:lvl w:ilvl="0" w:tplc="34809A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5CF68C8"/>
    <w:multiLevelType w:val="hybridMultilevel"/>
    <w:tmpl w:val="260E69DC"/>
    <w:lvl w:ilvl="0" w:tplc="B02E4732">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7111CCE"/>
    <w:multiLevelType w:val="hybridMultilevel"/>
    <w:tmpl w:val="6B90F046"/>
    <w:lvl w:ilvl="0" w:tplc="F0548470">
      <w:start w:val="1"/>
      <w:numFmt w:val="lowerRoman"/>
      <w:lvlText w:val="(%1)"/>
      <w:lvlJc w:val="left"/>
      <w:pPr>
        <w:ind w:left="1440" w:hanging="360"/>
      </w:pPr>
      <w:rPr>
        <w:b w:val="0"/>
        <w:sz w:val="2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DD94E86"/>
    <w:multiLevelType w:val="hybridMultilevel"/>
    <w:tmpl w:val="5FD83BC6"/>
    <w:lvl w:ilvl="0" w:tplc="13BEBD24">
      <w:start w:val="1"/>
      <w:numFmt w:val="upperLetter"/>
      <w:lvlText w:val="(%1)"/>
      <w:lvlJc w:val="left"/>
      <w:pPr>
        <w:ind w:left="216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3C161F9"/>
    <w:multiLevelType w:val="hybridMultilevel"/>
    <w:tmpl w:val="D7E4C506"/>
    <w:lvl w:ilvl="0" w:tplc="D0587F82">
      <w:start w:val="1"/>
      <w:numFmt w:val="upperLetter"/>
      <w:lvlText w:val="(%1)"/>
      <w:lvlJc w:val="left"/>
      <w:pPr>
        <w:ind w:left="1440" w:hanging="360"/>
      </w:pPr>
      <w:rPr>
        <w:rFonts w:ascii="Arial" w:hAnsi="Arial" w:cs="Aria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55F43784"/>
    <w:multiLevelType w:val="hybridMultilevel"/>
    <w:tmpl w:val="EB06E258"/>
    <w:lvl w:ilvl="0" w:tplc="D0587F82">
      <w:start w:val="1"/>
      <w:numFmt w:val="upperLetter"/>
      <w:lvlText w:val="(%1)"/>
      <w:lvlJc w:val="left"/>
      <w:pPr>
        <w:ind w:left="1800" w:hanging="360"/>
      </w:pPr>
      <w:rPr>
        <w:rFonts w:ascii="Arial" w:hAnsi="Arial" w:cs="Arial"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5C2D7DA8"/>
    <w:multiLevelType w:val="hybridMultilevel"/>
    <w:tmpl w:val="960E049C"/>
    <w:lvl w:ilvl="0" w:tplc="B02E4732">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D276DCA"/>
    <w:multiLevelType w:val="hybridMultilevel"/>
    <w:tmpl w:val="3F5E64DA"/>
    <w:lvl w:ilvl="0" w:tplc="D0587F82">
      <w:start w:val="1"/>
      <w:numFmt w:val="upperLetter"/>
      <w:lvlText w:val="(%1)"/>
      <w:lvlJc w:val="left"/>
      <w:pPr>
        <w:ind w:left="1800" w:hanging="360"/>
      </w:pPr>
      <w:rPr>
        <w:rFonts w:ascii="Arial" w:hAnsi="Arial" w:cs="Arial"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60D05FA0"/>
    <w:multiLevelType w:val="hybridMultilevel"/>
    <w:tmpl w:val="1318C750"/>
    <w:lvl w:ilvl="0" w:tplc="D0587F82">
      <w:start w:val="1"/>
      <w:numFmt w:val="upperLetter"/>
      <w:lvlText w:val="(%1)"/>
      <w:lvlJc w:val="left"/>
      <w:pPr>
        <w:tabs>
          <w:tab w:val="num" w:pos="1080"/>
        </w:tabs>
        <w:ind w:left="1080" w:hanging="360"/>
      </w:pPr>
      <w:rPr>
        <w:rFonts w:ascii="Arial" w:hAnsi="Arial" w:cs="Arial"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6" w15:restartNumberingAfterBreak="0">
    <w:nsid w:val="61E4323C"/>
    <w:multiLevelType w:val="hybridMultilevel"/>
    <w:tmpl w:val="3474D21C"/>
    <w:lvl w:ilvl="0" w:tplc="34809A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61626B1"/>
    <w:multiLevelType w:val="hybridMultilevel"/>
    <w:tmpl w:val="D1C4E2DC"/>
    <w:lvl w:ilvl="0" w:tplc="CA4C8506">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68FF4468"/>
    <w:multiLevelType w:val="hybridMultilevel"/>
    <w:tmpl w:val="05A60FF6"/>
    <w:lvl w:ilvl="0" w:tplc="34809A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3DD3E7C"/>
    <w:multiLevelType w:val="hybridMultilevel"/>
    <w:tmpl w:val="A0428096"/>
    <w:lvl w:ilvl="0" w:tplc="B02E4732">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743A167E"/>
    <w:multiLevelType w:val="hybridMultilevel"/>
    <w:tmpl w:val="0486CE36"/>
    <w:lvl w:ilvl="0" w:tplc="34809A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5"/>
  </w:num>
  <w:num w:numId="2">
    <w:abstractNumId w:val="23"/>
  </w:num>
  <w:num w:numId="3">
    <w:abstractNumId w:val="18"/>
  </w:num>
  <w:num w:numId="4">
    <w:abstractNumId w:val="21"/>
  </w:num>
  <w:num w:numId="5">
    <w:abstractNumId w:val="28"/>
  </w:num>
  <w:num w:numId="6">
    <w:abstractNumId w:val="19"/>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4"/>
  </w:num>
  <w:num w:numId="18">
    <w:abstractNumId w:val="20"/>
  </w:num>
  <w:num w:numId="19">
    <w:abstractNumId w:val="29"/>
  </w:num>
  <w:num w:numId="20">
    <w:abstractNumId w:val="10"/>
  </w:num>
  <w:num w:numId="21">
    <w:abstractNumId w:val="22"/>
  </w:num>
  <w:num w:numId="22">
    <w:abstractNumId w:val="27"/>
  </w:num>
  <w:num w:numId="23">
    <w:abstractNumId w:val="17"/>
  </w:num>
  <w:num w:numId="24">
    <w:abstractNumId w:val="16"/>
  </w:num>
  <w:num w:numId="25">
    <w:abstractNumId w:val="15"/>
  </w:num>
  <w:num w:numId="26">
    <w:abstractNumId w:val="12"/>
  </w:num>
  <w:num w:numId="27">
    <w:abstractNumId w:val="24"/>
  </w:num>
  <w:num w:numId="28">
    <w:abstractNumId w:val="11"/>
  </w:num>
  <w:num w:numId="29">
    <w:abstractNumId w:val="30"/>
  </w:num>
  <w:num w:numId="30">
    <w:abstractNumId w:val="26"/>
  </w:num>
  <w:num w:numId="31">
    <w:abstractNumId w:val="1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activeWritingStyle w:appName="MSWord" w:lang="en-US" w:vendorID="64" w:dllVersion="5" w:nlCheck="1" w:checkStyle="1"/>
  <w:activeWritingStyle w:appName="MSWord" w:lang="en-US" w:vendorID="64" w:dllVersion="6" w:nlCheck="1" w:checkStyle="1"/>
  <w:activeWritingStyle w:appName="MSWord" w:lang="en-US" w:vendorID="64" w:dllVersion="0" w:nlCheck="1" w:checkStyle="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36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D6A"/>
    <w:rsid w:val="00040798"/>
    <w:rsid w:val="00072DE6"/>
    <w:rsid w:val="000C65F5"/>
    <w:rsid w:val="000E19AF"/>
    <w:rsid w:val="000E6E2A"/>
    <w:rsid w:val="000F5037"/>
    <w:rsid w:val="00182208"/>
    <w:rsid w:val="00195EAD"/>
    <w:rsid w:val="001A79C7"/>
    <w:rsid w:val="001B5390"/>
    <w:rsid w:val="001D3D6A"/>
    <w:rsid w:val="001D4638"/>
    <w:rsid w:val="002110A6"/>
    <w:rsid w:val="00214BB7"/>
    <w:rsid w:val="00261D44"/>
    <w:rsid w:val="00274018"/>
    <w:rsid w:val="00275457"/>
    <w:rsid w:val="002954CC"/>
    <w:rsid w:val="00326934"/>
    <w:rsid w:val="003608B6"/>
    <w:rsid w:val="003768C3"/>
    <w:rsid w:val="003772D3"/>
    <w:rsid w:val="003B3152"/>
    <w:rsid w:val="003F0F42"/>
    <w:rsid w:val="0040054A"/>
    <w:rsid w:val="00412DCC"/>
    <w:rsid w:val="00417B94"/>
    <w:rsid w:val="00422A3D"/>
    <w:rsid w:val="00442AD5"/>
    <w:rsid w:val="00452346"/>
    <w:rsid w:val="00461665"/>
    <w:rsid w:val="00474B54"/>
    <w:rsid w:val="00482B1F"/>
    <w:rsid w:val="00490D33"/>
    <w:rsid w:val="00491BBC"/>
    <w:rsid w:val="004A5A42"/>
    <w:rsid w:val="004B17FA"/>
    <w:rsid w:val="004D0746"/>
    <w:rsid w:val="004E416B"/>
    <w:rsid w:val="004F52F1"/>
    <w:rsid w:val="00581655"/>
    <w:rsid w:val="005A4035"/>
    <w:rsid w:val="005C406D"/>
    <w:rsid w:val="0061650B"/>
    <w:rsid w:val="00683B9C"/>
    <w:rsid w:val="00694479"/>
    <w:rsid w:val="006D057C"/>
    <w:rsid w:val="0070464A"/>
    <w:rsid w:val="007059C1"/>
    <w:rsid w:val="00714E43"/>
    <w:rsid w:val="00737021"/>
    <w:rsid w:val="00753CD5"/>
    <w:rsid w:val="007543B1"/>
    <w:rsid w:val="007559D7"/>
    <w:rsid w:val="00761A95"/>
    <w:rsid w:val="007703A5"/>
    <w:rsid w:val="00771FAA"/>
    <w:rsid w:val="00787B4D"/>
    <w:rsid w:val="0079500D"/>
    <w:rsid w:val="007C1D83"/>
    <w:rsid w:val="008114E7"/>
    <w:rsid w:val="00817171"/>
    <w:rsid w:val="008921AD"/>
    <w:rsid w:val="008B3E9B"/>
    <w:rsid w:val="008C4E69"/>
    <w:rsid w:val="0091065B"/>
    <w:rsid w:val="009703A1"/>
    <w:rsid w:val="00991E52"/>
    <w:rsid w:val="009C4D36"/>
    <w:rsid w:val="00A15E6F"/>
    <w:rsid w:val="00A40B36"/>
    <w:rsid w:val="00A50C02"/>
    <w:rsid w:val="00A70C79"/>
    <w:rsid w:val="00A71E8C"/>
    <w:rsid w:val="00A84862"/>
    <w:rsid w:val="00A92BA0"/>
    <w:rsid w:val="00B242FC"/>
    <w:rsid w:val="00B26F4A"/>
    <w:rsid w:val="00B30CA5"/>
    <w:rsid w:val="00B51BD8"/>
    <w:rsid w:val="00B52521"/>
    <w:rsid w:val="00B5536C"/>
    <w:rsid w:val="00B727F8"/>
    <w:rsid w:val="00BE196B"/>
    <w:rsid w:val="00C271D5"/>
    <w:rsid w:val="00C310FE"/>
    <w:rsid w:val="00C57FC4"/>
    <w:rsid w:val="00C946DE"/>
    <w:rsid w:val="00C96C49"/>
    <w:rsid w:val="00CB2806"/>
    <w:rsid w:val="00CF18B4"/>
    <w:rsid w:val="00D23DBC"/>
    <w:rsid w:val="00D50A0B"/>
    <w:rsid w:val="00D828A5"/>
    <w:rsid w:val="00DA6976"/>
    <w:rsid w:val="00DD456B"/>
    <w:rsid w:val="00E13A99"/>
    <w:rsid w:val="00E35FEF"/>
    <w:rsid w:val="00E41EC2"/>
    <w:rsid w:val="00E4240B"/>
    <w:rsid w:val="00E82704"/>
    <w:rsid w:val="00E92274"/>
    <w:rsid w:val="00EB5CEC"/>
    <w:rsid w:val="00EC19C2"/>
    <w:rsid w:val="00EC280F"/>
    <w:rsid w:val="00EE39BA"/>
    <w:rsid w:val="00EF6835"/>
    <w:rsid w:val="00F11651"/>
    <w:rsid w:val="00F12B41"/>
    <w:rsid w:val="00F170A5"/>
    <w:rsid w:val="00F2117D"/>
    <w:rsid w:val="00F22B4E"/>
    <w:rsid w:val="00F23469"/>
    <w:rsid w:val="00F436F8"/>
    <w:rsid w:val="00F4410B"/>
    <w:rsid w:val="00F76257"/>
    <w:rsid w:val="00F8721D"/>
    <w:rsid w:val="00FB6C0F"/>
    <w:rsid w:val="00FD2BA3"/>
    <w:rsid w:val="00FF3C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C5DAE4"/>
  <w15:docId w15:val="{1F1B24A7-223B-41D2-824B-0BC5CDFE7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qFormat="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D3D6A"/>
    <w:pPr>
      <w:widowControl w:val="0"/>
      <w:spacing w:before="100" w:after="100"/>
    </w:pPr>
    <w:rPr>
      <w:szCs w:val="24"/>
    </w:rPr>
  </w:style>
  <w:style w:type="paragraph" w:styleId="Heading1">
    <w:name w:val="heading 1"/>
    <w:basedOn w:val="Normal"/>
    <w:next w:val="Normal"/>
    <w:link w:val="Heading1Char"/>
    <w:qFormat/>
    <w:rsid w:val="00214BB7"/>
    <w:pPr>
      <w:snapToGrid w:val="0"/>
      <w:outlineLvl w:val="0"/>
    </w:pPr>
    <w:rPr>
      <w:rFonts w:ascii="Arial" w:eastAsiaTheme="majorEastAsia" w:hAnsi="Arial" w:cs="Arial"/>
      <w:b/>
      <w:bCs/>
      <w:sz w:val="36"/>
      <w:szCs w:val="28"/>
    </w:rPr>
  </w:style>
  <w:style w:type="paragraph" w:styleId="Heading2">
    <w:name w:val="heading 2"/>
    <w:basedOn w:val="Normal"/>
    <w:next w:val="Normal"/>
    <w:link w:val="Heading2Char"/>
    <w:unhideWhenUsed/>
    <w:qFormat/>
    <w:rsid w:val="00214BB7"/>
    <w:pPr>
      <w:snapToGrid w:val="0"/>
      <w:spacing w:before="0" w:after="120"/>
      <w:outlineLvl w:val="1"/>
    </w:pPr>
    <w:rPr>
      <w:rFonts w:ascii="Arial" w:eastAsiaTheme="majorEastAsia" w:hAnsi="Arial" w:cs="Arial"/>
      <w:b/>
      <w:bCs/>
      <w:szCs w:val="26"/>
    </w:rPr>
  </w:style>
  <w:style w:type="paragraph" w:styleId="Heading3">
    <w:name w:val="heading 3"/>
    <w:basedOn w:val="Normal"/>
    <w:next w:val="Normal"/>
    <w:link w:val="Heading3Char"/>
    <w:unhideWhenUsed/>
    <w:qFormat/>
    <w:rsid w:val="00214BB7"/>
    <w:pPr>
      <w:snapToGrid w:val="0"/>
      <w:spacing w:before="0" w:after="120"/>
      <w:outlineLvl w:val="2"/>
    </w:pPr>
    <w:rPr>
      <w:rFonts w:ascii="Arial" w:eastAsiaTheme="majorEastAsia" w:hAnsi="Arial" w:cs="Arial"/>
      <w:b/>
      <w:bCs/>
      <w:szCs w:val="20"/>
    </w:rPr>
  </w:style>
  <w:style w:type="paragraph" w:styleId="Heading4">
    <w:name w:val="heading 4"/>
    <w:basedOn w:val="Normal"/>
    <w:next w:val="Normal"/>
    <w:link w:val="Heading4Char"/>
    <w:unhideWhenUsed/>
    <w:qFormat/>
    <w:rsid w:val="00214BB7"/>
    <w:pPr>
      <w:snapToGrid w:val="0"/>
      <w:spacing w:before="0" w:after="120"/>
      <w:outlineLvl w:val="3"/>
    </w:pPr>
    <w:rPr>
      <w:rFonts w:ascii="Arial" w:eastAsiaTheme="majorEastAsia" w:hAnsi="Arial" w:cs="Arial"/>
      <w:b/>
      <w:bCs/>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rPr>
      <w:color w:val="800080"/>
      <w:u w:val="single"/>
    </w:rPr>
  </w:style>
  <w:style w:type="character" w:styleId="Emphasis">
    <w:name w:val="Emphasis"/>
    <w:basedOn w:val="DefaultParagraphFont"/>
    <w:qFormat/>
    <w:rPr>
      <w:i/>
      <w:iCs w:val="0"/>
    </w:rPr>
  </w:style>
  <w:style w:type="character" w:styleId="Strong">
    <w:name w:val="Strong"/>
    <w:basedOn w:val="DefaultParagraphFont"/>
    <w:qFormat/>
    <w:rPr>
      <w:b/>
      <w:bCs w:val="0"/>
    </w:rPr>
  </w:style>
  <w:style w:type="paragraph" w:styleId="NormalWeb">
    <w:name w:val="Normal (Web)"/>
    <w:basedOn w:val="Normal"/>
    <w:pPr>
      <w:widowControl/>
      <w:spacing w:beforeAutospacing="1" w:afterAutospacing="1"/>
    </w:pPr>
    <w:rPr>
      <w:sz w:val="24"/>
    </w:rPr>
  </w:style>
  <w:style w:type="paragraph" w:styleId="Header">
    <w:name w:val="header"/>
    <w:basedOn w:val="Normal"/>
    <w:link w:val="HeaderChar"/>
    <w:pPr>
      <w:tabs>
        <w:tab w:val="center" w:pos="4320"/>
        <w:tab w:val="right" w:pos="8640"/>
      </w:tabs>
      <w:snapToGrid w:val="0"/>
    </w:pPr>
    <w:rPr>
      <w:rFonts w:ascii="Arial" w:hAnsi="Arial" w:cs="Arial"/>
      <w:sz w:val="22"/>
      <w:szCs w:val="20"/>
    </w:rPr>
  </w:style>
  <w:style w:type="character" w:customStyle="1" w:styleId="HeaderChar">
    <w:name w:val="Header Char"/>
    <w:basedOn w:val="DefaultParagraphFont"/>
    <w:link w:val="Header"/>
    <w:locked/>
    <w:rPr>
      <w:rFonts w:ascii="Arial" w:hAnsi="Arial" w:cs="Arial" w:hint="default"/>
      <w:sz w:val="22"/>
    </w:rPr>
  </w:style>
  <w:style w:type="paragraph" w:styleId="Footer">
    <w:name w:val="footer"/>
    <w:basedOn w:val="Normal"/>
    <w:link w:val="FooterChar"/>
    <w:pPr>
      <w:tabs>
        <w:tab w:val="center" w:pos="4320"/>
        <w:tab w:val="right" w:pos="8640"/>
      </w:tabs>
      <w:snapToGrid w:val="0"/>
    </w:pPr>
    <w:rPr>
      <w:rFonts w:ascii="Arial" w:hAnsi="Arial" w:cs="Arial"/>
      <w:sz w:val="22"/>
      <w:szCs w:val="20"/>
    </w:rPr>
  </w:style>
  <w:style w:type="character" w:customStyle="1" w:styleId="FooterChar">
    <w:name w:val="Footer Char"/>
    <w:basedOn w:val="DefaultParagraphFont"/>
    <w:link w:val="Footer"/>
    <w:locked/>
    <w:rPr>
      <w:rFonts w:ascii="Arial" w:hAnsi="Arial" w:cs="Arial" w:hint="default"/>
      <w:sz w:val="22"/>
    </w:rPr>
  </w:style>
  <w:style w:type="paragraph" w:styleId="DocumentMap">
    <w:name w:val="Document Map"/>
    <w:basedOn w:val="Normal"/>
    <w:link w:val="DocumentMapChar"/>
    <w:pPr>
      <w:shd w:val="clear" w:color="auto" w:fill="000080"/>
      <w:snapToGrid w:val="0"/>
    </w:pPr>
    <w:rPr>
      <w:rFonts w:ascii="Tahoma" w:hAnsi="Tahoma" w:cs="Arial"/>
      <w:sz w:val="22"/>
      <w:szCs w:val="20"/>
    </w:rPr>
  </w:style>
  <w:style w:type="character" w:customStyle="1" w:styleId="DocumentMapChar">
    <w:name w:val="Document Map Char"/>
    <w:basedOn w:val="DefaultParagraphFont"/>
    <w:link w:val="DocumentMap"/>
    <w:locked/>
    <w:rPr>
      <w:rFonts w:ascii="Tahoma" w:hAnsi="Tahoma" w:cs="Tahoma" w:hint="default"/>
      <w:sz w:val="16"/>
      <w:szCs w:val="16"/>
    </w:rPr>
  </w:style>
  <w:style w:type="paragraph" w:styleId="BalloonText">
    <w:name w:val="Balloon Text"/>
    <w:basedOn w:val="Normal"/>
    <w:link w:val="BalloonTextChar"/>
    <w:semiHidden/>
    <w:pPr>
      <w:snapToGrid w:val="0"/>
    </w:pPr>
    <w:rPr>
      <w:rFonts w:ascii="Tahoma" w:hAnsi="Tahoma" w:cs="Tahoma"/>
      <w:sz w:val="16"/>
      <w:szCs w:val="16"/>
    </w:rPr>
  </w:style>
  <w:style w:type="character" w:customStyle="1" w:styleId="BalloonTextChar">
    <w:name w:val="Balloon Text Char"/>
    <w:basedOn w:val="DefaultParagraphFont"/>
    <w:link w:val="BalloonText"/>
    <w:locked/>
    <w:rPr>
      <w:rFonts w:ascii="Tahoma" w:hAnsi="Tahoma" w:cs="Tahoma" w:hint="default"/>
      <w:sz w:val="16"/>
      <w:szCs w:val="16"/>
    </w:rPr>
  </w:style>
  <w:style w:type="paragraph" w:styleId="ListParagraph">
    <w:name w:val="List Paragraph"/>
    <w:basedOn w:val="Normal"/>
    <w:uiPriority w:val="34"/>
    <w:qFormat/>
    <w:pPr>
      <w:snapToGrid w:val="0"/>
      <w:ind w:left="720"/>
      <w:contextualSpacing/>
    </w:pPr>
    <w:rPr>
      <w:rFonts w:ascii="Arial" w:hAnsi="Arial" w:cs="Arial"/>
      <w:sz w:val="22"/>
      <w:szCs w:val="20"/>
    </w:rPr>
  </w:style>
  <w:style w:type="paragraph" w:customStyle="1" w:styleId="DefinitionTerm">
    <w:name w:val="Definition Term"/>
    <w:basedOn w:val="Normal"/>
    <w:next w:val="DefinitionList"/>
    <w:pPr>
      <w:snapToGrid w:val="0"/>
      <w:spacing w:before="0" w:after="0"/>
    </w:pPr>
    <w:rPr>
      <w:rFonts w:ascii="Arial" w:hAnsi="Arial" w:cs="Arial"/>
      <w:sz w:val="22"/>
      <w:szCs w:val="20"/>
    </w:rPr>
  </w:style>
  <w:style w:type="paragraph" w:customStyle="1" w:styleId="DefinitionList">
    <w:name w:val="Definition List"/>
    <w:basedOn w:val="Normal"/>
    <w:next w:val="DefinitionTerm"/>
    <w:pPr>
      <w:snapToGrid w:val="0"/>
      <w:spacing w:before="0" w:after="0"/>
      <w:ind w:left="360"/>
    </w:pPr>
    <w:rPr>
      <w:rFonts w:ascii="Arial" w:hAnsi="Arial" w:cs="Arial"/>
      <w:sz w:val="22"/>
      <w:szCs w:val="20"/>
    </w:rPr>
  </w:style>
  <w:style w:type="paragraph" w:customStyle="1" w:styleId="H1">
    <w:name w:val="H1"/>
    <w:basedOn w:val="Normal"/>
    <w:next w:val="Normal"/>
    <w:pPr>
      <w:snapToGrid w:val="0"/>
      <w:outlineLvl w:val="1"/>
    </w:pPr>
    <w:rPr>
      <w:rFonts w:ascii="Arial" w:hAnsi="Arial" w:cs="Arial"/>
      <w:b/>
      <w:kern w:val="36"/>
      <w:sz w:val="48"/>
      <w:szCs w:val="20"/>
    </w:rPr>
  </w:style>
  <w:style w:type="paragraph" w:customStyle="1" w:styleId="H2">
    <w:name w:val="H2"/>
    <w:basedOn w:val="Normal"/>
    <w:next w:val="Normal"/>
    <w:pPr>
      <w:snapToGrid w:val="0"/>
      <w:outlineLvl w:val="2"/>
    </w:pPr>
    <w:rPr>
      <w:rFonts w:ascii="Arial" w:hAnsi="Arial" w:cs="Arial"/>
      <w:b/>
      <w:sz w:val="36"/>
      <w:szCs w:val="20"/>
    </w:rPr>
  </w:style>
  <w:style w:type="paragraph" w:customStyle="1" w:styleId="H3">
    <w:name w:val="H3"/>
    <w:basedOn w:val="Normal"/>
    <w:next w:val="Normal"/>
    <w:pPr>
      <w:snapToGrid w:val="0"/>
      <w:outlineLvl w:val="3"/>
    </w:pPr>
    <w:rPr>
      <w:rFonts w:ascii="Arial" w:hAnsi="Arial" w:cs="Arial"/>
      <w:b/>
      <w:sz w:val="28"/>
      <w:szCs w:val="20"/>
    </w:rPr>
  </w:style>
  <w:style w:type="paragraph" w:customStyle="1" w:styleId="H4">
    <w:name w:val="H4"/>
    <w:basedOn w:val="Normal"/>
    <w:next w:val="Normal"/>
    <w:pPr>
      <w:snapToGrid w:val="0"/>
      <w:outlineLvl w:val="4"/>
    </w:pPr>
    <w:rPr>
      <w:rFonts w:ascii="Arial" w:hAnsi="Arial" w:cs="Arial"/>
      <w:b/>
      <w:sz w:val="22"/>
      <w:szCs w:val="20"/>
    </w:rPr>
  </w:style>
  <w:style w:type="paragraph" w:customStyle="1" w:styleId="H5">
    <w:name w:val="H5"/>
    <w:basedOn w:val="Normal"/>
    <w:next w:val="Normal"/>
    <w:pPr>
      <w:snapToGrid w:val="0"/>
      <w:outlineLvl w:val="5"/>
    </w:pPr>
    <w:rPr>
      <w:rFonts w:ascii="Arial" w:hAnsi="Arial" w:cs="Arial"/>
      <w:b/>
      <w:szCs w:val="20"/>
    </w:rPr>
  </w:style>
  <w:style w:type="paragraph" w:customStyle="1" w:styleId="H6">
    <w:name w:val="H6"/>
    <w:basedOn w:val="Normal"/>
    <w:next w:val="Normal"/>
    <w:pPr>
      <w:snapToGrid w:val="0"/>
      <w:outlineLvl w:val="6"/>
    </w:pPr>
    <w:rPr>
      <w:rFonts w:ascii="Arial" w:hAnsi="Arial" w:cs="Arial"/>
      <w:b/>
      <w:sz w:val="16"/>
      <w:szCs w:val="20"/>
    </w:rPr>
  </w:style>
  <w:style w:type="paragraph" w:customStyle="1" w:styleId="Address">
    <w:name w:val="Address"/>
    <w:basedOn w:val="Normal"/>
    <w:next w:val="Normal"/>
    <w:pPr>
      <w:snapToGrid w:val="0"/>
      <w:spacing w:before="0" w:after="0"/>
    </w:pPr>
    <w:rPr>
      <w:rFonts w:ascii="Arial" w:hAnsi="Arial" w:cs="Arial"/>
      <w:i/>
      <w:sz w:val="22"/>
      <w:szCs w:val="20"/>
    </w:rPr>
  </w:style>
  <w:style w:type="paragraph" w:customStyle="1" w:styleId="Blockquote">
    <w:name w:val="Blockquote"/>
    <w:basedOn w:val="Normal"/>
    <w:uiPriority w:val="99"/>
    <w:pPr>
      <w:snapToGrid w:val="0"/>
      <w:ind w:left="360" w:right="360"/>
    </w:pPr>
    <w:rPr>
      <w:rFonts w:ascii="Arial" w:hAnsi="Arial" w:cs="Arial"/>
      <w:sz w:val="22"/>
      <w:szCs w:val="20"/>
    </w:rPr>
  </w:style>
  <w:style w:type="paragraph" w:customStyle="1" w:styleId="Preformatted">
    <w:name w:val="Preformatted"/>
    <w:basedOn w:val="Normal"/>
    <w:pPr>
      <w:tabs>
        <w:tab w:val="left" w:pos="0"/>
        <w:tab w:val="left" w:pos="959"/>
        <w:tab w:val="left" w:pos="1918"/>
        <w:tab w:val="left" w:pos="2877"/>
        <w:tab w:val="left" w:pos="3836"/>
        <w:tab w:val="left" w:pos="4795"/>
        <w:tab w:val="left" w:pos="5754"/>
        <w:tab w:val="left" w:pos="6713"/>
        <w:tab w:val="left" w:pos="7672"/>
        <w:tab w:val="left" w:pos="8631"/>
        <w:tab w:val="left" w:pos="9590"/>
      </w:tabs>
      <w:snapToGrid w:val="0"/>
      <w:spacing w:before="0" w:after="0"/>
    </w:pPr>
    <w:rPr>
      <w:rFonts w:ascii="Courier New" w:hAnsi="Courier New" w:cs="Arial"/>
      <w:szCs w:val="20"/>
    </w:rPr>
  </w:style>
  <w:style w:type="character" w:customStyle="1" w:styleId="Definition">
    <w:name w:val="Definition"/>
    <w:rPr>
      <w:i/>
      <w:iCs/>
    </w:rPr>
  </w:style>
  <w:style w:type="character" w:customStyle="1" w:styleId="CITE">
    <w:name w:val="CITE"/>
    <w:rPr>
      <w:i/>
      <w:iCs/>
    </w:rPr>
  </w:style>
  <w:style w:type="character" w:customStyle="1" w:styleId="CODE">
    <w:name w:val="CODE"/>
    <w:rPr>
      <w:rFonts w:ascii="Courier New" w:hAnsi="Courier New" w:cs="Courier New" w:hint="default"/>
      <w:sz w:val="20"/>
    </w:rPr>
  </w:style>
  <w:style w:type="character" w:customStyle="1" w:styleId="Keyboard">
    <w:name w:val="Keyboard"/>
    <w:rPr>
      <w:rFonts w:ascii="Courier New" w:hAnsi="Courier New" w:cs="Courier New" w:hint="default"/>
      <w:b/>
      <w:bCs/>
      <w:sz w:val="20"/>
    </w:rPr>
  </w:style>
  <w:style w:type="character" w:customStyle="1" w:styleId="Sample">
    <w:name w:val="Sample"/>
    <w:rPr>
      <w:rFonts w:ascii="Courier New" w:hAnsi="Courier New" w:cs="Courier New" w:hint="default"/>
    </w:rPr>
  </w:style>
  <w:style w:type="character" w:customStyle="1" w:styleId="Typewriter">
    <w:name w:val="Typewriter"/>
    <w:rPr>
      <w:rFonts w:ascii="Courier New" w:hAnsi="Courier New" w:cs="Courier New" w:hint="default"/>
      <w:sz w:val="20"/>
    </w:rPr>
  </w:style>
  <w:style w:type="character" w:customStyle="1" w:styleId="Variable">
    <w:name w:val="Variable"/>
    <w:rPr>
      <w:i/>
      <w:iCs/>
    </w:rPr>
  </w:style>
  <w:style w:type="character" w:customStyle="1" w:styleId="HTMLMarkup">
    <w:name w:val="HTML Markup"/>
    <w:rPr>
      <w:vanish/>
      <w:webHidden w:val="0"/>
      <w:color w:val="FF0000"/>
      <w:specVanish w:val="0"/>
    </w:rPr>
  </w:style>
  <w:style w:type="character" w:customStyle="1" w:styleId="Comment">
    <w:name w:val="Comment"/>
    <w:rPr>
      <w:vanish/>
      <w:webHidden w:val="0"/>
      <w:specVanish w:val="0"/>
    </w:rPr>
  </w:style>
  <w:style w:type="paragraph" w:styleId="PlainText">
    <w:name w:val="Plain Text"/>
    <w:basedOn w:val="Normal"/>
    <w:link w:val="PlainTextChar"/>
    <w:uiPriority w:val="99"/>
    <w:unhideWhenUsed/>
    <w:rsid w:val="00EB5CEC"/>
    <w:pPr>
      <w:widowControl/>
      <w:spacing w:before="0" w:after="0"/>
    </w:pPr>
    <w:rPr>
      <w:rFonts w:ascii="Calibri" w:eastAsia="Calibri" w:hAnsi="Calibri"/>
      <w:sz w:val="22"/>
      <w:szCs w:val="21"/>
    </w:rPr>
  </w:style>
  <w:style w:type="character" w:customStyle="1" w:styleId="PlainTextChar">
    <w:name w:val="Plain Text Char"/>
    <w:basedOn w:val="DefaultParagraphFont"/>
    <w:link w:val="PlainText"/>
    <w:uiPriority w:val="99"/>
    <w:rsid w:val="00EB5CEC"/>
    <w:rPr>
      <w:rFonts w:ascii="Calibri" w:eastAsia="Calibri" w:hAnsi="Calibri"/>
      <w:sz w:val="22"/>
      <w:szCs w:val="21"/>
    </w:rPr>
  </w:style>
  <w:style w:type="table" w:styleId="TableGrid">
    <w:name w:val="Table Grid"/>
    <w:basedOn w:val="TableNormal"/>
    <w:uiPriority w:val="39"/>
    <w:rsid w:val="007543B1"/>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unhideWhenUsed/>
    <w:rsid w:val="004B17FA"/>
    <w:rPr>
      <w:sz w:val="16"/>
      <w:szCs w:val="16"/>
    </w:rPr>
  </w:style>
  <w:style w:type="paragraph" w:styleId="CommentText">
    <w:name w:val="annotation text"/>
    <w:basedOn w:val="Normal"/>
    <w:link w:val="CommentTextChar"/>
    <w:semiHidden/>
    <w:unhideWhenUsed/>
    <w:rsid w:val="004B17FA"/>
    <w:pPr>
      <w:snapToGrid w:val="0"/>
    </w:pPr>
    <w:rPr>
      <w:rFonts w:ascii="Arial" w:hAnsi="Arial" w:cs="Arial"/>
      <w:szCs w:val="20"/>
    </w:rPr>
  </w:style>
  <w:style w:type="character" w:customStyle="1" w:styleId="CommentTextChar">
    <w:name w:val="Comment Text Char"/>
    <w:basedOn w:val="DefaultParagraphFont"/>
    <w:link w:val="CommentText"/>
    <w:semiHidden/>
    <w:rsid w:val="004B17FA"/>
    <w:rPr>
      <w:rFonts w:ascii="Arial" w:hAnsi="Arial" w:cs="Arial"/>
    </w:rPr>
  </w:style>
  <w:style w:type="paragraph" w:styleId="CommentSubject">
    <w:name w:val="annotation subject"/>
    <w:basedOn w:val="CommentText"/>
    <w:next w:val="CommentText"/>
    <w:link w:val="CommentSubjectChar"/>
    <w:semiHidden/>
    <w:unhideWhenUsed/>
    <w:rsid w:val="00275457"/>
    <w:rPr>
      <w:b/>
      <w:bCs/>
    </w:rPr>
  </w:style>
  <w:style w:type="character" w:customStyle="1" w:styleId="CommentSubjectChar">
    <w:name w:val="Comment Subject Char"/>
    <w:basedOn w:val="CommentTextChar"/>
    <w:link w:val="CommentSubject"/>
    <w:semiHidden/>
    <w:rsid w:val="00275457"/>
    <w:rPr>
      <w:rFonts w:ascii="Arial" w:hAnsi="Arial" w:cs="Arial"/>
      <w:b/>
      <w:bCs/>
    </w:rPr>
  </w:style>
  <w:style w:type="character" w:customStyle="1" w:styleId="Heading2Char">
    <w:name w:val="Heading 2 Char"/>
    <w:basedOn w:val="DefaultParagraphFont"/>
    <w:link w:val="Heading2"/>
    <w:rsid w:val="00214BB7"/>
    <w:rPr>
      <w:rFonts w:ascii="Arial" w:eastAsiaTheme="majorEastAsia" w:hAnsi="Arial" w:cs="Arial"/>
      <w:b/>
      <w:bCs/>
      <w:szCs w:val="26"/>
    </w:rPr>
  </w:style>
  <w:style w:type="character" w:customStyle="1" w:styleId="Heading1Char">
    <w:name w:val="Heading 1 Char"/>
    <w:basedOn w:val="DefaultParagraphFont"/>
    <w:link w:val="Heading1"/>
    <w:rsid w:val="00214BB7"/>
    <w:rPr>
      <w:rFonts w:ascii="Arial" w:eastAsiaTheme="majorEastAsia" w:hAnsi="Arial" w:cs="Arial"/>
      <w:b/>
      <w:bCs/>
      <w:sz w:val="36"/>
      <w:szCs w:val="28"/>
    </w:rPr>
  </w:style>
  <w:style w:type="character" w:customStyle="1" w:styleId="Heading3Char">
    <w:name w:val="Heading 3 Char"/>
    <w:basedOn w:val="DefaultParagraphFont"/>
    <w:link w:val="Heading3"/>
    <w:rsid w:val="00214BB7"/>
    <w:rPr>
      <w:rFonts w:ascii="Arial" w:eastAsiaTheme="majorEastAsia" w:hAnsi="Arial" w:cs="Arial"/>
      <w:b/>
      <w:bCs/>
    </w:rPr>
  </w:style>
  <w:style w:type="character" w:customStyle="1" w:styleId="Heading4Char">
    <w:name w:val="Heading 4 Char"/>
    <w:basedOn w:val="DefaultParagraphFont"/>
    <w:link w:val="Heading4"/>
    <w:rsid w:val="00214BB7"/>
    <w:rPr>
      <w:rFonts w:ascii="Arial" w:eastAsiaTheme="majorEastAsia" w:hAnsi="Arial" w:cs="Arial"/>
      <w:b/>
      <w:bCs/>
      <w:iCs/>
    </w:rPr>
  </w:style>
  <w:style w:type="paragraph" w:styleId="List">
    <w:name w:val="List"/>
    <w:basedOn w:val="Normal"/>
    <w:unhideWhenUsed/>
    <w:rsid w:val="00214BB7"/>
    <w:pPr>
      <w:snapToGrid w:val="0"/>
      <w:spacing w:before="120" w:after="120"/>
    </w:pPr>
    <w:rPr>
      <w:rFonts w:ascii="Arial" w:hAnsi="Arial" w:cs="Arial"/>
      <w:sz w:val="22"/>
      <w:szCs w:val="20"/>
    </w:rPr>
  </w:style>
  <w:style w:type="paragraph" w:styleId="List2">
    <w:name w:val="List 2"/>
    <w:basedOn w:val="Normal"/>
    <w:unhideWhenUsed/>
    <w:rsid w:val="00BE196B"/>
    <w:pPr>
      <w:snapToGrid w:val="0"/>
      <w:spacing w:before="120" w:after="120"/>
      <w:ind w:left="360"/>
    </w:pPr>
    <w:rPr>
      <w:rFonts w:ascii="Arial" w:hAnsi="Arial" w:cs="Arial"/>
      <w:szCs w:val="20"/>
    </w:rPr>
  </w:style>
  <w:style w:type="paragraph" w:styleId="List3">
    <w:name w:val="List 3"/>
    <w:basedOn w:val="Normal"/>
    <w:link w:val="List3Char"/>
    <w:unhideWhenUsed/>
    <w:qFormat/>
    <w:rsid w:val="00BE196B"/>
    <w:pPr>
      <w:snapToGrid w:val="0"/>
      <w:spacing w:before="120" w:after="120"/>
      <w:ind w:left="720"/>
    </w:pPr>
    <w:rPr>
      <w:rFonts w:ascii="Arial" w:hAnsi="Arial" w:cs="Arial"/>
      <w:szCs w:val="20"/>
    </w:rPr>
  </w:style>
  <w:style w:type="paragraph" w:styleId="List4">
    <w:name w:val="List 4"/>
    <w:basedOn w:val="Normal"/>
    <w:rsid w:val="00195EAD"/>
    <w:pPr>
      <w:snapToGrid w:val="0"/>
      <w:spacing w:before="120" w:after="120"/>
      <w:ind w:left="1080"/>
    </w:pPr>
    <w:rPr>
      <w:rFonts w:ascii="Arial" w:hAnsi="Arial" w:cs="Arial"/>
      <w:szCs w:val="20"/>
    </w:rPr>
  </w:style>
  <w:style w:type="paragraph" w:customStyle="1" w:styleId="List1">
    <w:name w:val="List 1"/>
    <w:basedOn w:val="List3"/>
    <w:link w:val="List1Char"/>
    <w:qFormat/>
    <w:rsid w:val="00BE196B"/>
    <w:pPr>
      <w:ind w:left="0"/>
    </w:pPr>
  </w:style>
  <w:style w:type="character" w:customStyle="1" w:styleId="List3Char">
    <w:name w:val="List 3 Char"/>
    <w:basedOn w:val="DefaultParagraphFont"/>
    <w:link w:val="List3"/>
    <w:rsid w:val="00BE196B"/>
    <w:rPr>
      <w:rFonts w:ascii="Arial" w:hAnsi="Arial" w:cs="Arial"/>
    </w:rPr>
  </w:style>
  <w:style w:type="character" w:customStyle="1" w:styleId="List1Char">
    <w:name w:val="List 1 Char"/>
    <w:basedOn w:val="List3Char"/>
    <w:link w:val="List1"/>
    <w:rsid w:val="00BE196B"/>
    <w:rPr>
      <w:rFonts w:ascii="Arial" w:hAnsi="Arial" w:cs="Arial"/>
    </w:rPr>
  </w:style>
  <w:style w:type="paragraph" w:styleId="TOC1">
    <w:name w:val="toc 1"/>
    <w:basedOn w:val="Normal"/>
    <w:next w:val="Normal"/>
    <w:autoRedefine/>
    <w:uiPriority w:val="39"/>
    <w:unhideWhenUsed/>
    <w:rsid w:val="00E92274"/>
    <w:pPr>
      <w:snapToGrid w:val="0"/>
    </w:pPr>
    <w:rPr>
      <w:rFonts w:ascii="Arial" w:hAnsi="Arial" w:cs="Arial"/>
      <w:b/>
      <w:sz w:val="22"/>
      <w:szCs w:val="20"/>
    </w:rPr>
  </w:style>
  <w:style w:type="paragraph" w:styleId="TOC2">
    <w:name w:val="toc 2"/>
    <w:basedOn w:val="Normal"/>
    <w:next w:val="Normal"/>
    <w:autoRedefine/>
    <w:uiPriority w:val="39"/>
    <w:unhideWhenUsed/>
    <w:rsid w:val="00E92274"/>
    <w:pPr>
      <w:snapToGrid w:val="0"/>
      <w:ind w:left="220"/>
    </w:pPr>
    <w:rPr>
      <w:rFonts w:ascii="Arial" w:hAnsi="Arial" w:cs="Arial"/>
      <w:b/>
      <w:sz w:val="22"/>
      <w:szCs w:val="20"/>
    </w:rPr>
  </w:style>
  <w:style w:type="paragraph" w:styleId="BodyText">
    <w:name w:val="Body Text"/>
    <w:basedOn w:val="Normal"/>
    <w:link w:val="BodyTextChar"/>
    <w:rsid w:val="001D3D6A"/>
    <w:pPr>
      <w:jc w:val="center"/>
    </w:pPr>
    <w:rPr>
      <w:rFonts w:ascii="Arial" w:hAnsi="Arial" w:cs="Arial"/>
      <w:b/>
      <w:bCs/>
      <w:sz w:val="36"/>
      <w:szCs w:val="36"/>
    </w:rPr>
  </w:style>
  <w:style w:type="character" w:customStyle="1" w:styleId="BodyTextChar">
    <w:name w:val="Body Text Char"/>
    <w:basedOn w:val="DefaultParagraphFont"/>
    <w:link w:val="BodyText"/>
    <w:rsid w:val="001D3D6A"/>
    <w:rPr>
      <w:rFonts w:ascii="Arial" w:hAnsi="Arial" w:cs="Arial"/>
      <w:b/>
      <w:bCs/>
      <w:sz w:val="36"/>
      <w:szCs w:val="36"/>
    </w:rPr>
  </w:style>
  <w:style w:type="paragraph" w:customStyle="1" w:styleId="Style1">
    <w:name w:val="Style1"/>
    <w:basedOn w:val="Normal"/>
    <w:rsid w:val="001D3D6A"/>
    <w:pPr>
      <w:snapToGrid w:val="0"/>
      <w:jc w:val="center"/>
    </w:pPr>
    <w:rPr>
      <w:rFonts w:ascii="Arial" w:hAnsi="Arial" w:cs="Arial"/>
      <w:b/>
      <w:bCs/>
      <w:sz w:val="24"/>
    </w:rPr>
  </w:style>
  <w:style w:type="paragraph" w:styleId="TOCHeading">
    <w:name w:val="TOC Heading"/>
    <w:basedOn w:val="Heading1"/>
    <w:next w:val="Normal"/>
    <w:uiPriority w:val="39"/>
    <w:unhideWhenUsed/>
    <w:qFormat/>
    <w:rsid w:val="00E92274"/>
    <w:pPr>
      <w:keepNext/>
      <w:keepLines/>
      <w:widowControl/>
      <w:snapToGrid/>
      <w:spacing w:before="240" w:after="0" w:line="259" w:lineRule="auto"/>
      <w:outlineLvl w:val="9"/>
    </w:pPr>
    <w:rPr>
      <w:rFonts w:asciiTheme="majorHAnsi" w:hAnsiTheme="majorHAnsi" w:cstheme="majorBidi"/>
      <w:b w:val="0"/>
      <w:bCs w:val="0"/>
      <w:color w:val="365F91" w:themeColor="accent1" w:themeShade="BF"/>
      <w:sz w:val="32"/>
      <w:szCs w:val="32"/>
    </w:rPr>
  </w:style>
  <w:style w:type="paragraph" w:styleId="TOC3">
    <w:name w:val="toc 3"/>
    <w:basedOn w:val="Normal"/>
    <w:next w:val="Normal"/>
    <w:autoRedefine/>
    <w:uiPriority w:val="39"/>
    <w:unhideWhenUsed/>
    <w:rsid w:val="00E92274"/>
    <w:pPr>
      <w:ind w:left="400"/>
    </w:pPr>
    <w:rPr>
      <w:rFonts w:ascii="Arial" w:hAnsi="Arial"/>
      <w:sz w:val="22"/>
    </w:rPr>
  </w:style>
  <w:style w:type="paragraph" w:styleId="TOC4">
    <w:name w:val="toc 4"/>
    <w:basedOn w:val="Normal"/>
    <w:next w:val="Normal"/>
    <w:autoRedefine/>
    <w:uiPriority w:val="39"/>
    <w:unhideWhenUsed/>
    <w:rsid w:val="00E92274"/>
    <w:pPr>
      <w:ind w:left="600"/>
    </w:pPr>
    <w:rPr>
      <w:rFonts w:ascii="Arial" w:hAnsi="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2986339">
      <w:bodyDiv w:val="1"/>
      <w:marLeft w:val="0"/>
      <w:marRight w:val="0"/>
      <w:marTop w:val="0"/>
      <w:marBottom w:val="0"/>
      <w:divBdr>
        <w:top w:val="none" w:sz="0" w:space="0" w:color="auto"/>
        <w:left w:val="none" w:sz="0" w:space="0" w:color="auto"/>
        <w:bottom w:val="none" w:sz="0" w:space="0" w:color="auto"/>
        <w:right w:val="none" w:sz="0" w:space="0" w:color="auto"/>
      </w:divBdr>
    </w:div>
    <w:div w:id="1402094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acquisition.gov/dfars/part-228-%E2%80%93-bonds-and-insurance"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farsite.hill.af.mil/reghtml/regs/far2afmcfars/fardfars/far/52_227.ht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farsite.hill.af.mil/reghtml/regs/far2afmcfars/fardfars/dfars/dfars252_227.ht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of.atl.socom.mil/sites/K/SOFARS_DCG/SOFARS/5652.docx" TargetMode="External"/><Relationship Id="rId5" Type="http://schemas.openxmlformats.org/officeDocument/2006/relationships/numbering" Target="numbering.xml"/><Relationship Id="rId15" Type="http://schemas.openxmlformats.org/officeDocument/2006/relationships/hyperlink" Target="http://farsite.hill.af.mil/reghtml/regs/far2afmcfars/fardfars/dfars/dfars252_227.htm"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farsite.hill.af.mil/reghtml/regs/far2afmcfars/fardfars/dfars/dfars252_227.ht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Y:\KM\Marian%206-17-19%20outdated-back-up%20only\SOFARS%20final%20complete\completed%20styles\SOFARS%20styles.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ACE347D7E474A49A5703FA3028C9C2B" ma:contentTypeVersion="1" ma:contentTypeDescription="Create a new document." ma:contentTypeScope="" ma:versionID="d1e57effb64a3438e27d9ae9421afbdb">
  <xsd:schema xmlns:xsd="http://www.w3.org/2001/XMLSchema" xmlns:xs="http://www.w3.org/2001/XMLSchema" xmlns:p="http://schemas.microsoft.com/office/2006/metadata/properties" targetNamespace="http://schemas.microsoft.com/office/2006/metadata/properties" ma:root="true" ma:fieldsID="4606014966f62809c3aa1590cf73b2e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E65BDF-BE5F-455A-88DF-5EFA1A4B48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E98EC160-7FFF-4667-BC65-CACAF0765DA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EA682B8-0D69-490D-9A5E-C70CBFD7E672}">
  <ds:schemaRefs>
    <ds:schemaRef ds:uri="http://schemas.microsoft.com/sharepoint/v3/contenttype/forms"/>
  </ds:schemaRefs>
</ds:datastoreItem>
</file>

<file path=customXml/itemProps4.xml><?xml version="1.0" encoding="utf-8"?>
<ds:datastoreItem xmlns:ds="http://schemas.openxmlformats.org/officeDocument/2006/customXml" ds:itemID="{30203778-12AF-401B-9748-463B65F311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SOFARS styles</Template>
  <TotalTime>0</TotalTime>
  <Pages>2</Pages>
  <Words>278</Words>
  <Characters>2730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5604 - ADMINISTRATIVE MATTERS</vt:lpstr>
    </vt:vector>
  </TitlesOfParts>
  <Company>Technautics, Inc.</Company>
  <LinksUpToDate>false</LinksUpToDate>
  <CharactersWithSpaces>3002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5628 - BONDS AND INSURANCE</dc:title>
  <dc:creator>Duchesne, Marian B NH-IIICIV USSOCOM SOCOM (USA)</dc:creator>
  <cp:lastModifiedBy>Duchesne, Marian B CIV USSOCOM SOCOM (USA)</cp:lastModifiedBy>
  <cp:revision>2</cp:revision>
  <cp:lastPrinted>2010-02-11T14:15:00Z</cp:lastPrinted>
  <dcterms:created xsi:type="dcterms:W3CDTF">2021-06-24T11:10:00Z</dcterms:created>
  <dcterms:modified xsi:type="dcterms:W3CDTF">2021-06-24T11:10:00Z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nknownHead_0_1_0">
    <vt:lpwstr>&lt;LINK REL="STYLESHEET" TYPE="text/css" HREF="sofars.css"&gt;_x000d__x000d_</vt:lpwstr>
  </property>
  <property fmtid="{D5CDD505-2E9C-101B-9397-08002B2CF9AE}" pid="3" name="ContentTypeId">
    <vt:lpwstr>0x0101000ACE347D7E474A49A5703FA3028C9C2B</vt:lpwstr>
  </property>
</Properties>
</file>