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D0736" w14:textId="4981446C" w:rsidR="004C5892" w:rsidRDefault="004C5892" w:rsidP="004E2F28">
      <w:pPr>
        <w:rPr>
          <w:rFonts w:ascii="Arial" w:hAnsi="Arial" w:cs="Arial"/>
          <w:b/>
          <w:bCs/>
          <w:sz w:val="32"/>
          <w:szCs w:val="32"/>
        </w:rPr>
      </w:pPr>
      <w:bookmarkStart w:id="0" w:name="BM5637"/>
      <w:bookmarkEnd w:id="0"/>
      <w:r w:rsidRPr="004E2F28">
        <w:rPr>
          <w:rFonts w:ascii="Arial" w:hAnsi="Arial" w:cs="Arial"/>
          <w:b/>
          <w:bCs/>
          <w:sz w:val="32"/>
          <w:szCs w:val="32"/>
        </w:rPr>
        <w:t xml:space="preserve">SOFARS PART 5637 - SERVICE CONTRACTING </w:t>
      </w:r>
    </w:p>
    <w:p w14:paraId="7F2AD20D" w14:textId="77777777" w:rsidR="004E2F28" w:rsidRPr="004E2F28" w:rsidRDefault="004E2F28" w:rsidP="004E2F28">
      <w:pPr>
        <w:rPr>
          <w:rFonts w:ascii="Arial" w:hAnsi="Arial" w:cs="Arial"/>
          <w:b/>
          <w:bCs/>
          <w:sz w:val="32"/>
          <w:szCs w:val="32"/>
        </w:rPr>
      </w:pPr>
    </w:p>
    <w:sdt>
      <w:sdtPr>
        <w:rPr>
          <w:rFonts w:ascii="Arial" w:hAnsi="Arial" w:cs="Arial"/>
          <w:sz w:val="22"/>
          <w:szCs w:val="22"/>
        </w:rPr>
        <w:id w:val="-1740657"/>
        <w:docPartObj>
          <w:docPartGallery w:val="Table of Contents"/>
          <w:docPartUnique/>
        </w:docPartObj>
      </w:sdtPr>
      <w:sdtEndPr>
        <w:rPr>
          <w:rFonts w:eastAsia="Times New Roman"/>
          <w:b/>
          <w:bCs/>
          <w:noProof/>
          <w:color w:val="auto"/>
        </w:rPr>
      </w:sdtEndPr>
      <w:sdtContent>
        <w:p w14:paraId="741F77E4" w14:textId="78AB51D2" w:rsidR="004E2F28" w:rsidRPr="004E2F28" w:rsidRDefault="004E2F28">
          <w:pPr>
            <w:pStyle w:val="TOCHeading"/>
            <w:rPr>
              <w:rFonts w:ascii="Arial" w:hAnsi="Arial" w:cs="Arial"/>
              <w:b/>
              <w:bCs/>
              <w:color w:val="000000" w:themeColor="text1"/>
            </w:rPr>
          </w:pPr>
          <w:r w:rsidRPr="004E2F28">
            <w:rPr>
              <w:rFonts w:ascii="Arial" w:hAnsi="Arial" w:cs="Arial"/>
              <w:b/>
              <w:bCs/>
              <w:color w:val="000000" w:themeColor="text1"/>
            </w:rPr>
            <w:t>Table of Contents</w:t>
          </w:r>
        </w:p>
        <w:p w14:paraId="060BE4AD" w14:textId="17758292" w:rsidR="004E2F28" w:rsidRDefault="004E2F28">
          <w:pPr>
            <w:pStyle w:val="TOC1"/>
            <w:tabs>
              <w:tab w:val="right" w:leader="dot" w:pos="9350"/>
            </w:tabs>
            <w:rPr>
              <w:rFonts w:asciiTheme="minorHAnsi" w:eastAsiaTheme="minorEastAsia" w:hAnsiTheme="minorHAnsi" w:cstheme="minorBidi"/>
              <w:b w:val="0"/>
              <w:noProof/>
              <w:szCs w:val="22"/>
            </w:rPr>
          </w:pPr>
          <w:r>
            <w:rPr>
              <w:rFonts w:cs="Arial"/>
              <w:b w:val="0"/>
              <w:szCs w:val="22"/>
            </w:rPr>
            <w:fldChar w:fldCharType="begin"/>
          </w:r>
          <w:r>
            <w:rPr>
              <w:rFonts w:cs="Arial"/>
              <w:b w:val="0"/>
              <w:szCs w:val="22"/>
            </w:rPr>
            <w:instrText xml:space="preserve"> TOC \o "1-4" \n \h \z \u </w:instrText>
          </w:r>
          <w:r>
            <w:rPr>
              <w:rFonts w:cs="Arial"/>
              <w:b w:val="0"/>
              <w:szCs w:val="22"/>
            </w:rPr>
            <w:fldChar w:fldCharType="separate"/>
          </w:r>
          <w:hyperlink w:anchor="_Toc75412756" w:history="1">
            <w:r w:rsidRPr="001668CC">
              <w:rPr>
                <w:rStyle w:val="Hyperlink"/>
                <w:noProof/>
              </w:rPr>
              <w:t>SOFARS PART 5637 SERVICE CONTRACTING</w:t>
            </w:r>
          </w:hyperlink>
        </w:p>
        <w:p w14:paraId="115085B6" w14:textId="471E3F00" w:rsidR="004E2F28" w:rsidRDefault="004E2F28">
          <w:pPr>
            <w:pStyle w:val="TOC2"/>
            <w:tabs>
              <w:tab w:val="right" w:leader="dot" w:pos="9350"/>
            </w:tabs>
            <w:rPr>
              <w:rFonts w:asciiTheme="minorHAnsi" w:eastAsiaTheme="minorEastAsia" w:hAnsiTheme="minorHAnsi" w:cstheme="minorBidi"/>
              <w:b w:val="0"/>
              <w:noProof/>
              <w:szCs w:val="22"/>
            </w:rPr>
          </w:pPr>
          <w:hyperlink w:anchor="_Toc75412757" w:history="1">
            <w:r w:rsidRPr="001668CC">
              <w:rPr>
                <w:rStyle w:val="Hyperlink"/>
                <w:noProof/>
              </w:rPr>
              <w:t>SUBPART 5637.1 SERVICE CONTRACTS -- GENERAL</w:t>
            </w:r>
          </w:hyperlink>
        </w:p>
        <w:p w14:paraId="592647D2" w14:textId="0100306C" w:rsidR="004E2F28" w:rsidRDefault="004E2F28">
          <w:pPr>
            <w:pStyle w:val="TOC3"/>
            <w:tabs>
              <w:tab w:val="right" w:leader="dot" w:pos="9350"/>
            </w:tabs>
            <w:rPr>
              <w:rFonts w:asciiTheme="minorHAnsi" w:eastAsiaTheme="minorEastAsia" w:hAnsiTheme="minorHAnsi" w:cstheme="minorBidi"/>
              <w:noProof/>
              <w:szCs w:val="22"/>
            </w:rPr>
          </w:pPr>
          <w:hyperlink w:anchor="_Toc75412758" w:history="1">
            <w:r w:rsidRPr="001668CC">
              <w:rPr>
                <w:rStyle w:val="Hyperlink"/>
                <w:noProof/>
              </w:rPr>
              <w:t>5637.102 Policy.</w:t>
            </w:r>
          </w:hyperlink>
        </w:p>
        <w:p w14:paraId="2C9E1FAD" w14:textId="7B745A07" w:rsidR="004E2F28" w:rsidRDefault="004E2F28">
          <w:pPr>
            <w:pStyle w:val="TOC3"/>
            <w:tabs>
              <w:tab w:val="right" w:leader="dot" w:pos="9350"/>
            </w:tabs>
            <w:rPr>
              <w:rFonts w:asciiTheme="minorHAnsi" w:eastAsiaTheme="minorEastAsia" w:hAnsiTheme="minorHAnsi" w:cstheme="minorBidi"/>
              <w:noProof/>
              <w:szCs w:val="22"/>
            </w:rPr>
          </w:pPr>
          <w:hyperlink w:anchor="_Toc75412759" w:history="1">
            <w:r w:rsidRPr="001668CC">
              <w:rPr>
                <w:rStyle w:val="Hyperlink"/>
                <w:noProof/>
              </w:rPr>
              <w:t>5637.103-90 Contracting Officer Responsibility.</w:t>
            </w:r>
          </w:hyperlink>
        </w:p>
        <w:p w14:paraId="49320843" w14:textId="7EF2817A" w:rsidR="004E2F28" w:rsidRDefault="004E2F28">
          <w:pPr>
            <w:pStyle w:val="TOC3"/>
            <w:tabs>
              <w:tab w:val="right" w:leader="dot" w:pos="9350"/>
            </w:tabs>
            <w:rPr>
              <w:rFonts w:asciiTheme="minorHAnsi" w:eastAsiaTheme="minorEastAsia" w:hAnsiTheme="minorHAnsi" w:cstheme="minorBidi"/>
              <w:noProof/>
              <w:szCs w:val="22"/>
            </w:rPr>
          </w:pPr>
          <w:hyperlink w:anchor="_Toc75412760" w:history="1">
            <w:r w:rsidRPr="001668CC">
              <w:rPr>
                <w:rStyle w:val="Hyperlink"/>
                <w:noProof/>
              </w:rPr>
              <w:t>5637.104 Personal Service Contracts.</w:t>
            </w:r>
          </w:hyperlink>
        </w:p>
        <w:p w14:paraId="1F73D912" w14:textId="0D768727" w:rsidR="004E2F28" w:rsidRDefault="004E2F28">
          <w:pPr>
            <w:pStyle w:val="TOC3"/>
            <w:tabs>
              <w:tab w:val="right" w:leader="dot" w:pos="9350"/>
            </w:tabs>
            <w:rPr>
              <w:rFonts w:asciiTheme="minorHAnsi" w:eastAsiaTheme="minorEastAsia" w:hAnsiTheme="minorHAnsi" w:cstheme="minorBidi"/>
              <w:noProof/>
              <w:szCs w:val="22"/>
            </w:rPr>
          </w:pPr>
          <w:hyperlink w:anchor="_Toc75412761" w:history="1">
            <w:r w:rsidRPr="001668CC">
              <w:rPr>
                <w:rStyle w:val="Hyperlink"/>
                <w:noProof/>
              </w:rPr>
              <w:t>5637.110 Solicitation Provisions and Contract Clauses.</w:t>
            </w:r>
          </w:hyperlink>
        </w:p>
        <w:p w14:paraId="3A5B3C24" w14:textId="00419278" w:rsidR="004E2F28" w:rsidRDefault="004E2F28">
          <w:pPr>
            <w:pStyle w:val="TOC3"/>
            <w:tabs>
              <w:tab w:val="right" w:leader="dot" w:pos="9350"/>
            </w:tabs>
            <w:rPr>
              <w:rFonts w:asciiTheme="minorHAnsi" w:eastAsiaTheme="minorEastAsia" w:hAnsiTheme="minorHAnsi" w:cstheme="minorBidi"/>
              <w:noProof/>
              <w:szCs w:val="22"/>
            </w:rPr>
          </w:pPr>
          <w:hyperlink w:anchor="_Toc75412762" w:history="1">
            <w:r w:rsidRPr="001668CC">
              <w:rPr>
                <w:rStyle w:val="Hyperlink"/>
                <w:noProof/>
              </w:rPr>
              <w:t>5637.170 Approval of contracts and task orders for services.</w:t>
            </w:r>
          </w:hyperlink>
        </w:p>
        <w:p w14:paraId="591EF82F" w14:textId="0C13291F" w:rsidR="004E2F28" w:rsidRDefault="004E2F28">
          <w:pPr>
            <w:pStyle w:val="TOC4"/>
            <w:tabs>
              <w:tab w:val="right" w:leader="dot" w:pos="9350"/>
            </w:tabs>
            <w:rPr>
              <w:rFonts w:asciiTheme="minorHAnsi" w:eastAsiaTheme="minorEastAsia" w:hAnsiTheme="minorHAnsi" w:cstheme="minorBidi"/>
              <w:noProof/>
              <w:szCs w:val="22"/>
            </w:rPr>
          </w:pPr>
          <w:hyperlink w:anchor="_Toc75412763" w:history="1">
            <w:r w:rsidRPr="001668CC">
              <w:rPr>
                <w:rStyle w:val="Hyperlink"/>
                <w:noProof/>
              </w:rPr>
              <w:t>5637.170-2 Approval Requirements.</w:t>
            </w:r>
          </w:hyperlink>
        </w:p>
        <w:p w14:paraId="14240B61" w14:textId="3E29270D" w:rsidR="004E2F28" w:rsidRDefault="004E2F28">
          <w:pPr>
            <w:pStyle w:val="TOC2"/>
            <w:tabs>
              <w:tab w:val="right" w:leader="dot" w:pos="9350"/>
            </w:tabs>
            <w:rPr>
              <w:rFonts w:asciiTheme="minorHAnsi" w:eastAsiaTheme="minorEastAsia" w:hAnsiTheme="minorHAnsi" w:cstheme="minorBidi"/>
              <w:b w:val="0"/>
              <w:noProof/>
              <w:szCs w:val="22"/>
            </w:rPr>
          </w:pPr>
          <w:hyperlink w:anchor="_Toc75412764" w:history="1">
            <w:r w:rsidRPr="001668CC">
              <w:rPr>
                <w:rStyle w:val="Hyperlink"/>
                <w:noProof/>
              </w:rPr>
              <w:t>SUBPART 5637.2 ADVISORY AND ASSISTANCE SERVICES</w:t>
            </w:r>
          </w:hyperlink>
        </w:p>
        <w:p w14:paraId="45D535B8" w14:textId="6BFED44F" w:rsidR="004E2F28" w:rsidRDefault="004E2F28">
          <w:pPr>
            <w:pStyle w:val="TOC3"/>
            <w:tabs>
              <w:tab w:val="right" w:leader="dot" w:pos="9350"/>
            </w:tabs>
            <w:rPr>
              <w:rFonts w:asciiTheme="minorHAnsi" w:eastAsiaTheme="minorEastAsia" w:hAnsiTheme="minorHAnsi" w:cstheme="minorBidi"/>
              <w:noProof/>
              <w:szCs w:val="22"/>
            </w:rPr>
          </w:pPr>
          <w:hyperlink w:anchor="_Toc75412765" w:history="1">
            <w:r w:rsidRPr="001668CC">
              <w:rPr>
                <w:rStyle w:val="Hyperlink"/>
                <w:noProof/>
              </w:rPr>
              <w:t>5637.203 Policy.</w:t>
            </w:r>
          </w:hyperlink>
        </w:p>
        <w:p w14:paraId="1F7AB780" w14:textId="3978455C" w:rsidR="004E2F28" w:rsidRDefault="004E2F28">
          <w:pPr>
            <w:pStyle w:val="TOC3"/>
            <w:tabs>
              <w:tab w:val="right" w:leader="dot" w:pos="9350"/>
            </w:tabs>
            <w:rPr>
              <w:rFonts w:asciiTheme="minorHAnsi" w:eastAsiaTheme="minorEastAsia" w:hAnsiTheme="minorHAnsi" w:cstheme="minorBidi"/>
              <w:noProof/>
              <w:szCs w:val="22"/>
            </w:rPr>
          </w:pPr>
          <w:hyperlink w:anchor="_Toc75412766" w:history="1">
            <w:r w:rsidRPr="001668CC">
              <w:rPr>
                <w:rStyle w:val="Hyperlink"/>
                <w:noProof/>
              </w:rPr>
              <w:t>5637.204 Guidelines for Determining Availability of Personnel.</w:t>
            </w:r>
          </w:hyperlink>
        </w:p>
        <w:p w14:paraId="41DE734E" w14:textId="4C49EC0A" w:rsidR="004E2F28" w:rsidRDefault="004E2F28">
          <w:pPr>
            <w:pStyle w:val="TOC2"/>
            <w:tabs>
              <w:tab w:val="right" w:leader="dot" w:pos="9350"/>
            </w:tabs>
            <w:rPr>
              <w:rFonts w:asciiTheme="minorHAnsi" w:eastAsiaTheme="minorEastAsia" w:hAnsiTheme="minorHAnsi" w:cstheme="minorBidi"/>
              <w:b w:val="0"/>
              <w:noProof/>
              <w:szCs w:val="22"/>
            </w:rPr>
          </w:pPr>
          <w:hyperlink w:anchor="_Toc75412767" w:history="1">
            <w:r w:rsidRPr="001668CC">
              <w:rPr>
                <w:rStyle w:val="Hyperlink"/>
                <w:noProof/>
              </w:rPr>
              <w:t>SUBPART 5637.5 MANAGEMENT OVERSIGHT OF SERVICE CONTRACTS</w:t>
            </w:r>
          </w:hyperlink>
        </w:p>
        <w:p w14:paraId="0DFA4DF5" w14:textId="1DB1F60E" w:rsidR="004E2F28" w:rsidRDefault="004E2F28">
          <w:pPr>
            <w:pStyle w:val="TOC3"/>
            <w:tabs>
              <w:tab w:val="right" w:leader="dot" w:pos="9350"/>
            </w:tabs>
            <w:rPr>
              <w:rFonts w:asciiTheme="minorHAnsi" w:eastAsiaTheme="minorEastAsia" w:hAnsiTheme="minorHAnsi" w:cstheme="minorBidi"/>
              <w:noProof/>
              <w:szCs w:val="22"/>
            </w:rPr>
          </w:pPr>
          <w:hyperlink w:anchor="_Toc75412768" w:history="1">
            <w:r w:rsidRPr="001668CC">
              <w:rPr>
                <w:rStyle w:val="Hyperlink"/>
                <w:noProof/>
              </w:rPr>
              <w:t>5637.503 Agency-Head Responsibilities</w:t>
            </w:r>
          </w:hyperlink>
        </w:p>
        <w:p w14:paraId="568D6294" w14:textId="601CBCBB" w:rsidR="004E2F28" w:rsidRDefault="004E2F28">
          <w:pPr>
            <w:pStyle w:val="TOC4"/>
            <w:tabs>
              <w:tab w:val="right" w:leader="dot" w:pos="9350"/>
            </w:tabs>
            <w:rPr>
              <w:rFonts w:asciiTheme="minorHAnsi" w:eastAsiaTheme="minorEastAsia" w:hAnsiTheme="minorHAnsi" w:cstheme="minorBidi"/>
              <w:noProof/>
              <w:szCs w:val="22"/>
            </w:rPr>
          </w:pPr>
          <w:hyperlink w:anchor="_Toc75412769" w:history="1">
            <w:r w:rsidRPr="001668CC">
              <w:rPr>
                <w:rStyle w:val="Hyperlink"/>
                <w:noProof/>
              </w:rPr>
              <w:t>5637.590-90 Contractor Manpower Reporting (DCG)</w:t>
            </w:r>
          </w:hyperlink>
        </w:p>
        <w:p w14:paraId="76474ECD" w14:textId="090BB8E9" w:rsidR="004E2F28" w:rsidRDefault="004E2F28">
          <w:r>
            <w:rPr>
              <w:rFonts w:ascii="Arial" w:hAnsi="Arial" w:cs="Arial"/>
              <w:b/>
              <w:sz w:val="22"/>
              <w:szCs w:val="22"/>
            </w:rPr>
            <w:fldChar w:fldCharType="end"/>
          </w:r>
        </w:p>
      </w:sdtContent>
    </w:sdt>
    <w:p w14:paraId="30954D77" w14:textId="77777777" w:rsidR="004C5892" w:rsidRDefault="004C5892" w:rsidP="004C5892">
      <w:pPr>
        <w:rPr>
          <w:rFonts w:ascii="Arial" w:hAnsi="Arial" w:cs="Arial"/>
          <w:b/>
          <w:bCs/>
          <w:sz w:val="24"/>
          <w:szCs w:val="36"/>
        </w:rPr>
      </w:pPr>
    </w:p>
    <w:p w14:paraId="6AC98A19" w14:textId="77777777" w:rsidR="004C5892" w:rsidRDefault="004C5892" w:rsidP="004C5892">
      <w:pPr>
        <w:rPr>
          <w:rFonts w:ascii="Arial" w:hAnsi="Arial" w:cs="Arial"/>
          <w:b/>
          <w:bCs/>
          <w:sz w:val="24"/>
          <w:szCs w:val="36"/>
        </w:rPr>
      </w:pPr>
    </w:p>
    <w:p w14:paraId="50C3BFF1" w14:textId="77777777" w:rsidR="004C5892" w:rsidRPr="004C5892" w:rsidRDefault="004C5892" w:rsidP="004C5892">
      <w:pPr>
        <w:pStyle w:val="Heading1"/>
      </w:pPr>
      <w:bookmarkStart w:id="1" w:name="_Toc75412756"/>
      <w:r w:rsidRPr="004C5892">
        <w:t>SOFARS PART 5637</w:t>
      </w:r>
      <w:r w:rsidRPr="004C5892">
        <w:br/>
        <w:t>SERVICE CONTRACTING</w:t>
      </w:r>
      <w:bookmarkEnd w:id="1"/>
    </w:p>
    <w:p w14:paraId="00A758E5" w14:textId="14126ABD" w:rsidR="004C5892" w:rsidRDefault="004C5892" w:rsidP="004C5892">
      <w:pPr>
        <w:rPr>
          <w:rFonts w:ascii="Arial" w:hAnsi="Arial" w:cs="Arial"/>
        </w:rPr>
      </w:pPr>
    </w:p>
    <w:p w14:paraId="2F0A0296" w14:textId="77777777" w:rsidR="004C5892" w:rsidRPr="004C5892" w:rsidRDefault="004C5892" w:rsidP="004C5892">
      <w:pPr>
        <w:pStyle w:val="Heading2"/>
      </w:pPr>
      <w:bookmarkStart w:id="2" w:name="BM1"/>
      <w:bookmarkStart w:id="3" w:name="_Toc75412757"/>
      <w:bookmarkEnd w:id="2"/>
      <w:r w:rsidRPr="004C5892">
        <w:t>SUBPART 5637.1 SERVICE CONTRACTS -- GENERAL</w:t>
      </w:r>
      <w:bookmarkEnd w:id="3"/>
    </w:p>
    <w:p w14:paraId="2E121394" w14:textId="77777777" w:rsidR="004C5892" w:rsidRPr="004C5892" w:rsidRDefault="004C5892" w:rsidP="004C5892">
      <w:pPr>
        <w:pStyle w:val="Heading3"/>
      </w:pPr>
      <w:bookmarkStart w:id="4" w:name="BM104"/>
      <w:bookmarkStart w:id="5" w:name="_Toc75412758"/>
      <w:bookmarkEnd w:id="4"/>
      <w:r w:rsidRPr="004C5892">
        <w:t>5637.102 Policy.</w:t>
      </w:r>
      <w:bookmarkEnd w:id="5"/>
    </w:p>
    <w:p w14:paraId="0685E701" w14:textId="77777777" w:rsidR="004C5892" w:rsidRDefault="004C5892" w:rsidP="004C5892">
      <w:pPr>
        <w:spacing w:before="0" w:after="120"/>
        <w:rPr>
          <w:rFonts w:ascii="Arial" w:hAnsi="Arial" w:cs="Arial"/>
        </w:rPr>
      </w:pPr>
      <w:r>
        <w:rPr>
          <w:rFonts w:ascii="Arial" w:hAnsi="Arial" w:cs="Arial"/>
          <w:i/>
        </w:rPr>
        <w:t>(Revised August 2016)</w:t>
      </w:r>
    </w:p>
    <w:p w14:paraId="59FBBF1B" w14:textId="4DAC51DD" w:rsidR="004C5892" w:rsidRPr="00BC71E5" w:rsidRDefault="0096600F" w:rsidP="0096600F">
      <w:pPr>
        <w:pStyle w:val="List1"/>
        <w:numPr>
          <w:ilvl w:val="0"/>
          <w:numId w:val="0"/>
        </w:numPr>
      </w:pPr>
      <w:bookmarkStart w:id="6" w:name="BM37_102"/>
      <w:bookmarkEnd w:id="6"/>
      <w:r w:rsidRPr="00BC71E5">
        <w:t>(a)</w:t>
      </w:r>
      <w:r w:rsidRPr="00BC71E5">
        <w:tab/>
      </w:r>
      <w:r w:rsidR="004C5892" w:rsidRPr="00BC71E5">
        <w:t xml:space="preserve">See </w:t>
      </w:r>
      <w:hyperlink r:id="rId11" w:anchor="BM5609" w:history="1">
        <w:r w:rsidR="004C5892" w:rsidRPr="00BC71E5">
          <w:rPr>
            <w:rStyle w:val="Hyperlink"/>
            <w:szCs w:val="20"/>
          </w:rPr>
          <w:t>5609.901</w:t>
        </w:r>
      </w:hyperlink>
      <w:r w:rsidR="004C5892" w:rsidRPr="00BC71E5">
        <w:t xml:space="preserve"> for Guidance on Contractors in the Federal Workplace.</w:t>
      </w:r>
    </w:p>
    <w:p w14:paraId="29DF57AC" w14:textId="1BD38D14" w:rsidR="004C5892" w:rsidRDefault="0096600F" w:rsidP="0096600F">
      <w:pPr>
        <w:pStyle w:val="List1"/>
        <w:numPr>
          <w:ilvl w:val="0"/>
          <w:numId w:val="0"/>
        </w:numPr>
      </w:pPr>
      <w:r>
        <w:t>(b)</w:t>
      </w:r>
      <w:r>
        <w:tab/>
      </w:r>
      <w:r w:rsidR="004C5892" w:rsidRPr="00BC71E5">
        <w:t xml:space="preserve">Acquisition of Services shall be in accordance with </w:t>
      </w:r>
      <w:r w:rsidR="004C5892" w:rsidRPr="00225B71">
        <w:rPr>
          <w:szCs w:val="20"/>
        </w:rPr>
        <w:t>DoD Instruction 5000.74</w:t>
      </w:r>
      <w:r w:rsidR="004C5892" w:rsidRPr="00BC71E5">
        <w:t>. The Senior Service</w:t>
      </w:r>
      <w:r w:rsidR="004C5892">
        <w:t>s</w:t>
      </w:r>
      <w:r w:rsidR="004C5892" w:rsidRPr="00BC71E5">
        <w:t xml:space="preserve"> Manager (SSM) for USSOCOM has delegated the decision authority for Service Category V acquisitions (estimated total value of the SAT or more but less than $10M) to the Component and Theater Special Operations Command (TSOC) level</w:t>
      </w:r>
      <w:r w:rsidR="004C5892">
        <w:t>, unless otherwise directed</w:t>
      </w:r>
      <w:r w:rsidR="004C5892" w:rsidRPr="00BC71E5">
        <w:t xml:space="preserve">. Components and TSOC contracting offices shall ensure requiring activities obtain service acquisition approval IAW local procedures. The contract file shall contain the </w:t>
      </w:r>
      <w:r w:rsidR="004C5892">
        <w:t>approved acquisition strategy.</w:t>
      </w:r>
    </w:p>
    <w:p w14:paraId="78333002" w14:textId="08B98AE3" w:rsidR="004C5892" w:rsidRPr="004C5892" w:rsidRDefault="004C5892" w:rsidP="004C5892">
      <w:pPr>
        <w:pStyle w:val="List2"/>
      </w:pPr>
      <w:r>
        <w:t xml:space="preserve">(1)  </w:t>
      </w:r>
      <w:r w:rsidRPr="004C5892">
        <w:t>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w:p w14:paraId="5EC5A45A" w14:textId="77777777" w:rsidR="004C5892" w:rsidRDefault="004C5892" w:rsidP="004C5892">
      <w:pPr>
        <w:pStyle w:val="Heading3"/>
      </w:pPr>
      <w:bookmarkStart w:id="7" w:name="BM37_103_90"/>
      <w:bookmarkStart w:id="8" w:name="_Toc75412759"/>
      <w:bookmarkEnd w:id="7"/>
      <w:r>
        <w:lastRenderedPageBreak/>
        <w:t>5637.103-90 Contracting Officer Responsibility.</w:t>
      </w:r>
      <w:bookmarkEnd w:id="8"/>
      <w:r>
        <w:t xml:space="preserve"> </w:t>
      </w:r>
    </w:p>
    <w:p w14:paraId="5F3EF2A0" w14:textId="77777777" w:rsidR="004C5892" w:rsidRDefault="004C5892" w:rsidP="004C5892">
      <w:pPr>
        <w:pStyle w:val="Blockquote"/>
        <w:spacing w:before="0" w:after="120"/>
        <w:ind w:left="0"/>
        <w:rPr>
          <w:rFonts w:ascii="Arial" w:hAnsi="Arial" w:cs="Arial"/>
          <w:i/>
          <w:color w:val="000000" w:themeColor="text1"/>
          <w:szCs w:val="20"/>
        </w:rPr>
      </w:pPr>
      <w:r>
        <w:rPr>
          <w:rFonts w:ascii="Arial" w:hAnsi="Arial" w:cs="Arial"/>
          <w:i/>
          <w:color w:val="000000" w:themeColor="text1"/>
          <w:szCs w:val="20"/>
        </w:rPr>
        <w:t>(Revised August 2016)</w:t>
      </w:r>
    </w:p>
    <w:p w14:paraId="0CEECD7A" w14:textId="77777777" w:rsidR="004C5892" w:rsidRDefault="004C5892" w:rsidP="004C5892">
      <w:pPr>
        <w:pStyle w:val="Blockquote"/>
        <w:spacing w:before="0" w:after="120"/>
        <w:ind w:left="0"/>
        <w:rPr>
          <w:rFonts w:ascii="Arial" w:hAnsi="Arial" w:cs="Arial"/>
          <w:color w:val="000000" w:themeColor="text1"/>
          <w:szCs w:val="20"/>
        </w:rPr>
      </w:pPr>
      <w:r>
        <w:rPr>
          <w:rFonts w:ascii="Arial" w:hAnsi="Arial" w:cs="Arial"/>
          <w:color w:val="000000" w:themeColor="text1"/>
          <w:szCs w:val="20"/>
        </w:rPr>
        <w:t xml:space="preserve">See </w:t>
      </w:r>
      <w:hyperlink r:id="rId12" w:anchor="P40_5948" w:history="1">
        <w:r w:rsidRPr="00F11A8C">
          <w:rPr>
            <w:rStyle w:val="Hyperlink"/>
            <w:rFonts w:ascii="Arial" w:hAnsi="Arial" w:cs="Arial"/>
            <w:szCs w:val="20"/>
          </w:rPr>
          <w:t>FAR 37.103(e)</w:t>
        </w:r>
      </w:hyperlink>
      <w:r>
        <w:rPr>
          <w:rFonts w:ascii="Arial" w:hAnsi="Arial" w:cs="Arial"/>
          <w:color w:val="000000" w:themeColor="text1"/>
          <w:szCs w:val="20"/>
        </w:rPr>
        <w:t xml:space="preserve"> for reporting requirements.</w:t>
      </w:r>
    </w:p>
    <w:p w14:paraId="404D83A2" w14:textId="77777777" w:rsidR="004C5892" w:rsidRDefault="004C5892" w:rsidP="004C5892">
      <w:pPr>
        <w:pStyle w:val="Heading3"/>
      </w:pPr>
      <w:bookmarkStart w:id="9" w:name="_Toc75412760"/>
      <w:r>
        <w:t>5637.104 Personal Service Contracts.</w:t>
      </w:r>
      <w:bookmarkEnd w:id="9"/>
    </w:p>
    <w:p w14:paraId="78BFAE2C" w14:textId="77777777" w:rsidR="004C5892" w:rsidRDefault="004C5892" w:rsidP="004C5892">
      <w:pPr>
        <w:pStyle w:val="List1"/>
        <w:numPr>
          <w:ilvl w:val="0"/>
          <w:numId w:val="0"/>
        </w:numPr>
      </w:pPr>
      <w:r>
        <w:t xml:space="preserve">(b)(1) If a request for approval of a personal service contract is submitted in accordance with </w:t>
      </w:r>
      <w:hyperlink r:id="rId13" w:anchor="P121_5442" w:history="1">
        <w:r>
          <w:rPr>
            <w:rStyle w:val="Hyperlink"/>
          </w:rPr>
          <w:t>DFARS 237.104(b)(</w:t>
        </w:r>
        <w:proofErr w:type="spellStart"/>
        <w:r>
          <w:rPr>
            <w:rStyle w:val="Hyperlink"/>
          </w:rPr>
          <w:t>i</w:t>
        </w:r>
        <w:proofErr w:type="spellEnd"/>
        <w:r>
          <w:rPr>
            <w:rStyle w:val="Hyperlink"/>
          </w:rPr>
          <w:t>)</w:t>
        </w:r>
      </w:hyperlink>
      <w:r>
        <w:t>, the following additional information shall be furnished:</w:t>
      </w:r>
    </w:p>
    <w:p w14:paraId="6C89C365" w14:textId="77777777" w:rsidR="004C5892" w:rsidRPr="004C5892" w:rsidRDefault="004C5892" w:rsidP="004C5892">
      <w:pPr>
        <w:pStyle w:val="List3"/>
      </w:pPr>
      <w:r w:rsidRPr="004C5892">
        <w:t>(a) The requiring activity's initial request signed by the Requiring Activity Official (RAO</w:t>
      </w:r>
      <w:proofErr w:type="gramStart"/>
      <w:r w:rsidRPr="004C5892">
        <w:t>);</w:t>
      </w:r>
      <w:proofErr w:type="gramEnd"/>
    </w:p>
    <w:p w14:paraId="7C19EBCE" w14:textId="77777777" w:rsidR="004C5892" w:rsidRDefault="004C5892" w:rsidP="004C5892">
      <w:pPr>
        <w:pStyle w:val="List3"/>
      </w:pPr>
      <w:r>
        <w:t>(b) A determination and findings (D&amp;F</w:t>
      </w:r>
      <w:proofErr w:type="gramStart"/>
      <w:r>
        <w:t>);</w:t>
      </w:r>
      <w:proofErr w:type="gramEnd"/>
    </w:p>
    <w:p w14:paraId="09783041" w14:textId="77777777" w:rsidR="004C5892" w:rsidRDefault="004C5892" w:rsidP="004C5892">
      <w:pPr>
        <w:pStyle w:val="List3"/>
      </w:pPr>
      <w:r>
        <w:t xml:space="preserve">(c) A review sheet coordinated in accordance with </w:t>
      </w:r>
      <w:hyperlink r:id="rId14" w:history="1">
        <w:r>
          <w:rPr>
            <w:rStyle w:val="Hyperlink"/>
          </w:rPr>
          <w:t>Attachment 5601-1</w:t>
        </w:r>
      </w:hyperlink>
      <w:r>
        <w:t>;</w:t>
      </w:r>
    </w:p>
    <w:p w14:paraId="62DFEF2C" w14:textId="77777777" w:rsidR="004C5892" w:rsidRDefault="004C5892" w:rsidP="004C5892">
      <w:pPr>
        <w:pStyle w:val="List3"/>
      </w:pPr>
      <w:r>
        <w:t>(d) Documentation of Contracting Officer coordination; and</w:t>
      </w:r>
    </w:p>
    <w:p w14:paraId="43E768B7" w14:textId="77777777" w:rsidR="004C5892" w:rsidRDefault="004C5892" w:rsidP="004C5892">
      <w:pPr>
        <w:pStyle w:val="List3"/>
      </w:pPr>
      <w:r>
        <w:t>(e) A narrative requesting the approval authority signs the required D&amp;F.</w:t>
      </w:r>
    </w:p>
    <w:p w14:paraId="1FA90661" w14:textId="77777777" w:rsidR="004C5892" w:rsidRDefault="004C5892" w:rsidP="004C5892">
      <w:pPr>
        <w:pStyle w:val="Heading3"/>
      </w:pPr>
      <w:bookmarkStart w:id="10" w:name="BM110"/>
      <w:bookmarkStart w:id="11" w:name="_Toc75412761"/>
      <w:bookmarkEnd w:id="10"/>
      <w:r>
        <w:t>5637.110 Solicitation Provisions and Contract Clauses.</w:t>
      </w:r>
      <w:bookmarkEnd w:id="11"/>
    </w:p>
    <w:p w14:paraId="32667F2C" w14:textId="77777777" w:rsidR="004C5892" w:rsidRPr="006C4AC0" w:rsidRDefault="004C5892" w:rsidP="004C5892">
      <w:pPr>
        <w:rPr>
          <w:rFonts w:ascii="Arial" w:hAnsi="Arial" w:cs="Arial"/>
          <w:i/>
        </w:rPr>
      </w:pPr>
      <w:r>
        <w:rPr>
          <w:rFonts w:ascii="Arial" w:hAnsi="Arial" w:cs="Arial"/>
          <w:i/>
        </w:rPr>
        <w:t>(Revised August 2017)</w:t>
      </w:r>
    </w:p>
    <w:p w14:paraId="21297CD9" w14:textId="6FBA3E84" w:rsidR="004C5892" w:rsidRPr="004C5892" w:rsidRDefault="0096600F" w:rsidP="0096600F">
      <w:pPr>
        <w:pStyle w:val="List1"/>
        <w:numPr>
          <w:ilvl w:val="0"/>
          <w:numId w:val="0"/>
        </w:numPr>
        <w:tabs>
          <w:tab w:val="left" w:pos="360"/>
        </w:tabs>
      </w:pPr>
      <w:r w:rsidRPr="004C5892">
        <w:t>(a)</w:t>
      </w:r>
      <w:r w:rsidRPr="004C5892">
        <w:tab/>
      </w:r>
      <w:r w:rsidR="004C5892" w:rsidRPr="00C72030">
        <w:rPr>
          <w:i/>
          <w:iCs/>
        </w:rPr>
        <w:t>(Removed August 2017).</w:t>
      </w:r>
    </w:p>
    <w:p w14:paraId="4FA75DB5" w14:textId="33A64524" w:rsidR="004C5892" w:rsidRDefault="004C5892" w:rsidP="0096600F">
      <w:pPr>
        <w:pStyle w:val="List1"/>
        <w:numPr>
          <w:ilvl w:val="0"/>
          <w:numId w:val="0"/>
        </w:numPr>
      </w:pPr>
      <w:r>
        <w:t xml:space="preserve">(b)  When a service contract Statement of Work (SOW) contains key personnel, contracting officers may insert a clause substantially the same as </w:t>
      </w:r>
      <w:hyperlink r:id="rId15" w:anchor="BM237_9001" w:history="1">
        <w:r>
          <w:rPr>
            <w:rStyle w:val="Hyperlink"/>
          </w:rPr>
          <w:t>5652.237-9001</w:t>
        </w:r>
        <w:bookmarkStart w:id="12" w:name="BM237_9001"/>
        <w:bookmarkEnd w:id="12"/>
      </w:hyperlink>
      <w:r>
        <w:t xml:space="preserve">, Key Personnel Requirements. </w:t>
      </w:r>
    </w:p>
    <w:p w14:paraId="62C2D087" w14:textId="77777777" w:rsidR="004C5892" w:rsidRDefault="004C5892" w:rsidP="004C5892">
      <w:pPr>
        <w:pStyle w:val="Heading3"/>
      </w:pPr>
      <w:bookmarkStart w:id="13" w:name="BM503_170"/>
      <w:bookmarkStart w:id="14" w:name="_Toc75412762"/>
      <w:bookmarkEnd w:id="13"/>
      <w:r>
        <w:t>5637.170 Approval of contracts and task orders for services.</w:t>
      </w:r>
      <w:bookmarkEnd w:id="14"/>
      <w:r>
        <w:t xml:space="preserve"> </w:t>
      </w:r>
    </w:p>
    <w:p w14:paraId="66C6BAD5" w14:textId="77777777" w:rsidR="004C5892" w:rsidRDefault="004C5892" w:rsidP="004C5892">
      <w:pPr>
        <w:rPr>
          <w:rFonts w:ascii="Arial" w:hAnsi="Arial" w:cs="Arial"/>
          <w:i/>
          <w:szCs w:val="20"/>
        </w:rPr>
      </w:pPr>
      <w:r>
        <w:rPr>
          <w:rFonts w:ascii="Arial" w:hAnsi="Arial" w:cs="Arial"/>
          <w:i/>
          <w:szCs w:val="20"/>
        </w:rPr>
        <w:t>(Revised April 2015)</w:t>
      </w:r>
    </w:p>
    <w:p w14:paraId="70FA7DE1" w14:textId="7FCF05F1" w:rsidR="004C5892" w:rsidRDefault="004C5892" w:rsidP="004C5892">
      <w:pPr>
        <w:rPr>
          <w:rFonts w:ascii="Arial" w:hAnsi="Arial" w:cs="Arial"/>
          <w:szCs w:val="20"/>
        </w:rPr>
      </w:pPr>
      <w:r>
        <w:rPr>
          <w:rFonts w:ascii="Arial" w:hAnsi="Arial" w:cs="Arial"/>
          <w:szCs w:val="20"/>
        </w:rPr>
        <w:t xml:space="preserve">See </w:t>
      </w:r>
      <w:r w:rsidRPr="00225B71">
        <w:rPr>
          <w:rFonts w:ascii="Arial" w:hAnsi="Arial" w:cs="Arial"/>
          <w:b/>
          <w:szCs w:val="20"/>
        </w:rPr>
        <w:t>DCG</w:t>
      </w:r>
      <w:r>
        <w:rPr>
          <w:rFonts w:ascii="Arial" w:hAnsi="Arial" w:cs="Arial"/>
          <w:szCs w:val="20"/>
        </w:rPr>
        <w:t xml:space="preserve"> for </w:t>
      </w:r>
      <w:r w:rsidRPr="00467CB0">
        <w:rPr>
          <w:rFonts w:ascii="Arial" w:hAnsi="Arial" w:cs="Arial"/>
          <w:szCs w:val="20"/>
        </w:rPr>
        <w:t>service requirement (SR) approval and reporting</w:t>
      </w:r>
      <w:r>
        <w:rPr>
          <w:rFonts w:ascii="Arial" w:hAnsi="Arial" w:cs="Arial"/>
          <w:szCs w:val="20"/>
        </w:rPr>
        <w:t xml:space="preserve"> policy and responsibilities.</w:t>
      </w:r>
    </w:p>
    <w:p w14:paraId="54BC0E48" w14:textId="77777777" w:rsidR="004C5892" w:rsidRPr="004C5892" w:rsidRDefault="004C5892" w:rsidP="004C5892">
      <w:pPr>
        <w:pStyle w:val="Heading4"/>
      </w:pPr>
      <w:bookmarkStart w:id="15" w:name="_Toc75412763"/>
      <w:r w:rsidRPr="004C5892">
        <w:t>5637.170-2 Approval Requirements.</w:t>
      </w:r>
      <w:bookmarkEnd w:id="15"/>
      <w:r w:rsidRPr="004C5892">
        <w:t xml:space="preserve"> </w:t>
      </w:r>
    </w:p>
    <w:p w14:paraId="4D7CCF93" w14:textId="77777777" w:rsidR="004C5892" w:rsidRDefault="004C5892" w:rsidP="004C5892">
      <w:pPr>
        <w:rPr>
          <w:rFonts w:ascii="Arial" w:hAnsi="Arial" w:cs="Arial"/>
          <w:i/>
          <w:szCs w:val="20"/>
        </w:rPr>
      </w:pPr>
      <w:r>
        <w:rPr>
          <w:rFonts w:ascii="Arial" w:hAnsi="Arial" w:cs="Arial"/>
          <w:i/>
          <w:szCs w:val="20"/>
        </w:rPr>
        <w:t>(Revised October 2015)</w:t>
      </w:r>
    </w:p>
    <w:p w14:paraId="48341810" w14:textId="110C1F2C" w:rsidR="004C5892" w:rsidRPr="004C5892" w:rsidRDefault="004C5892" w:rsidP="0096600F">
      <w:pPr>
        <w:pStyle w:val="List1"/>
        <w:numPr>
          <w:ilvl w:val="0"/>
          <w:numId w:val="0"/>
        </w:numPr>
      </w:pPr>
      <w:r w:rsidRPr="004C5892">
        <w:t xml:space="preserve"> Contracts or task orders valued at or below $93 million that are not performance-based must be approved by an HCD or FCO Chief. For acquisitions exceeding $93 million, obtain the approval of the senior procurement executive.</w:t>
      </w:r>
    </w:p>
    <w:p w14:paraId="118BF99A" w14:textId="77777777" w:rsidR="004C5892" w:rsidRDefault="004C5892" w:rsidP="004C5892">
      <w:pPr>
        <w:pStyle w:val="Heading2"/>
        <w:rPr>
          <w:rFonts w:eastAsia="Times New Roman"/>
        </w:rPr>
      </w:pPr>
      <w:bookmarkStart w:id="16" w:name="BM2"/>
      <w:bookmarkStart w:id="17" w:name="_Toc75412764"/>
      <w:bookmarkEnd w:id="16"/>
      <w:r>
        <w:rPr>
          <w:rFonts w:eastAsia="Times New Roman"/>
        </w:rPr>
        <w:t>SUBPART 5637.2 ADVISORY AND ASSISTANCE SERVICES</w:t>
      </w:r>
      <w:bookmarkEnd w:id="17"/>
      <w:r>
        <w:rPr>
          <w:rFonts w:eastAsia="Times New Roman"/>
        </w:rPr>
        <w:t xml:space="preserve"> </w:t>
      </w:r>
    </w:p>
    <w:p w14:paraId="41F34FFA" w14:textId="77777777" w:rsidR="004C5892" w:rsidRDefault="004C5892" w:rsidP="004C5892">
      <w:pPr>
        <w:pStyle w:val="Heading3"/>
      </w:pPr>
      <w:bookmarkStart w:id="18" w:name="BM203"/>
      <w:bookmarkStart w:id="19" w:name="_Toc75412765"/>
      <w:bookmarkEnd w:id="18"/>
      <w:r>
        <w:t>5637.203 Policy.</w:t>
      </w:r>
      <w:bookmarkEnd w:id="19"/>
    </w:p>
    <w:p w14:paraId="2E500B27" w14:textId="77777777" w:rsidR="004C5892" w:rsidRPr="0061316C" w:rsidRDefault="004C5892" w:rsidP="004C5892">
      <w:pPr>
        <w:spacing w:before="0"/>
        <w:rPr>
          <w:rFonts w:ascii="Arial" w:hAnsi="Arial" w:cs="Arial"/>
          <w:i/>
        </w:rPr>
      </w:pPr>
      <w:r w:rsidRPr="0061316C">
        <w:rPr>
          <w:rFonts w:ascii="Arial" w:hAnsi="Arial" w:cs="Arial"/>
          <w:i/>
        </w:rPr>
        <w:t>(Removed April 2017)</w:t>
      </w:r>
    </w:p>
    <w:p w14:paraId="4FC8AF22" w14:textId="77777777" w:rsidR="004C5892" w:rsidRDefault="004C5892" w:rsidP="004C5892">
      <w:pPr>
        <w:pStyle w:val="Heading3"/>
      </w:pPr>
      <w:bookmarkStart w:id="20" w:name="BM204"/>
      <w:bookmarkStart w:id="21" w:name="_Toc75412766"/>
      <w:bookmarkEnd w:id="20"/>
      <w:r>
        <w:t>5637.204 Guidelines for Determining Availability of Personnel.</w:t>
      </w:r>
      <w:bookmarkEnd w:id="21"/>
    </w:p>
    <w:p w14:paraId="60F38EA1" w14:textId="2FD9E55F" w:rsidR="004C5892" w:rsidRDefault="004C5892" w:rsidP="004C5892">
      <w:pPr>
        <w:pStyle w:val="List1"/>
        <w:numPr>
          <w:ilvl w:val="0"/>
          <w:numId w:val="0"/>
        </w:numPr>
      </w:pPr>
      <w:r>
        <w:t xml:space="preserve">(a)  Contractor personnel shall not be utilized on proposal evaluation teams without the written approval of the Director of Procurement (DOP) or designee. The RAO must provide written justification in accordance with </w:t>
      </w:r>
      <w:hyperlink r:id="rId16" w:anchor="P143_22075" w:history="1">
        <w:r>
          <w:rPr>
            <w:rStyle w:val="Hyperlink"/>
          </w:rPr>
          <w:t>FAR 37.203(d)</w:t>
        </w:r>
      </w:hyperlink>
      <w:r>
        <w:t xml:space="preserve"> as to why contractor support must be used instead of using federal employees.</w:t>
      </w:r>
    </w:p>
    <w:p w14:paraId="7AB3AA2D" w14:textId="77777777" w:rsidR="004C5892" w:rsidRDefault="004C5892" w:rsidP="004C5892">
      <w:pPr>
        <w:pStyle w:val="Heading2"/>
        <w:rPr>
          <w:rFonts w:eastAsia="Times New Roman"/>
        </w:rPr>
      </w:pPr>
      <w:bookmarkStart w:id="22" w:name="BM5"/>
      <w:bookmarkStart w:id="23" w:name="_Toc75412767"/>
      <w:bookmarkEnd w:id="22"/>
      <w:r>
        <w:rPr>
          <w:rFonts w:eastAsia="Times New Roman"/>
        </w:rPr>
        <w:t>SUBPART 5637.5 MANAGEMENT OVERSIGHT OF SERVICE CONTRACTS</w:t>
      </w:r>
      <w:bookmarkEnd w:id="23"/>
    </w:p>
    <w:p w14:paraId="59946B92" w14:textId="77777777" w:rsidR="004C5892" w:rsidRDefault="004C5892" w:rsidP="004C5892">
      <w:pPr>
        <w:pStyle w:val="Heading3"/>
      </w:pPr>
      <w:bookmarkStart w:id="24" w:name="BM503"/>
      <w:bookmarkStart w:id="25" w:name="_Toc75412768"/>
      <w:bookmarkEnd w:id="24"/>
      <w:r>
        <w:t>5637.503 Agency-Head Responsibilities</w:t>
      </w:r>
      <w:bookmarkEnd w:id="25"/>
    </w:p>
    <w:p w14:paraId="2DEF972F" w14:textId="77777777" w:rsidR="004C5892" w:rsidRDefault="004C5892" w:rsidP="004C5892">
      <w:pPr>
        <w:spacing w:before="0"/>
        <w:rPr>
          <w:rFonts w:ascii="Arial" w:hAnsi="Arial" w:cs="Arial"/>
        </w:rPr>
      </w:pPr>
      <w:r>
        <w:rPr>
          <w:rFonts w:ascii="Arial" w:hAnsi="Arial" w:cs="Arial"/>
        </w:rPr>
        <w:t xml:space="preserve">Per </w:t>
      </w:r>
      <w:hyperlink r:id="rId17" w:anchor="BM601" w:history="1">
        <w:r>
          <w:rPr>
            <w:rStyle w:val="Hyperlink"/>
            <w:rFonts w:ascii="Arial" w:hAnsi="Arial" w:cs="Arial"/>
          </w:rPr>
          <w:t>5601.601(2)</w:t>
        </w:r>
      </w:hyperlink>
      <w:r>
        <w:rPr>
          <w:rFonts w:ascii="Arial" w:hAnsi="Arial" w:cs="Arial"/>
        </w:rPr>
        <w:t>, the Director of Procurement (DOP) is delegated the authority to act in accordance with this paragraph.</w:t>
      </w:r>
    </w:p>
    <w:p w14:paraId="5B87A311" w14:textId="18A723F9" w:rsidR="004C5892" w:rsidRDefault="004C5892" w:rsidP="004C5892">
      <w:pPr>
        <w:pStyle w:val="Heading4"/>
      </w:pPr>
      <w:bookmarkStart w:id="26" w:name="BM590_90"/>
      <w:bookmarkStart w:id="27" w:name="_Hlk66795389"/>
      <w:bookmarkStart w:id="28" w:name="_Toc75412769"/>
      <w:bookmarkEnd w:id="26"/>
      <w:r>
        <w:t>5637.590-90 Contractor Manpower Reporting</w:t>
      </w:r>
      <w:bookmarkEnd w:id="28"/>
    </w:p>
    <w:p w14:paraId="7D879777" w14:textId="03D0A6FA" w:rsidR="004C5892" w:rsidRDefault="004C5892" w:rsidP="004C5892">
      <w:pPr>
        <w:spacing w:before="0" w:after="120"/>
        <w:rPr>
          <w:rFonts w:ascii="Arial" w:hAnsi="Arial" w:cs="Arial"/>
          <w:i/>
        </w:rPr>
      </w:pPr>
      <w:r>
        <w:rPr>
          <w:rFonts w:ascii="Arial" w:hAnsi="Arial" w:cs="Arial"/>
          <w:i/>
        </w:rPr>
        <w:t xml:space="preserve">(Revised </w:t>
      </w:r>
      <w:r w:rsidR="00C72030">
        <w:rPr>
          <w:rFonts w:ascii="Arial" w:hAnsi="Arial" w:cs="Arial"/>
          <w:i/>
        </w:rPr>
        <w:t>June</w:t>
      </w:r>
      <w:r>
        <w:rPr>
          <w:rFonts w:ascii="Arial" w:hAnsi="Arial" w:cs="Arial"/>
          <w:i/>
        </w:rPr>
        <w:t xml:space="preserve"> 2021) </w:t>
      </w:r>
    </w:p>
    <w:p w14:paraId="55CABDB2" w14:textId="77777777" w:rsidR="004C5892" w:rsidRPr="0097311D" w:rsidRDefault="004C5892" w:rsidP="004C5892">
      <w:pPr>
        <w:widowControl/>
        <w:autoSpaceDE w:val="0"/>
        <w:autoSpaceDN w:val="0"/>
        <w:adjustRightInd w:val="0"/>
        <w:spacing w:before="0" w:after="0"/>
        <w:rPr>
          <w:rFonts w:ascii="Arial" w:hAnsi="Arial" w:cs="Arial"/>
          <w:szCs w:val="20"/>
        </w:rPr>
      </w:pPr>
      <w:bookmarkStart w:id="29" w:name="_Hlk66795300"/>
      <w:r w:rsidRPr="0097311D">
        <w:rPr>
          <w:rFonts w:ascii="Arial" w:hAnsi="Arial" w:cs="Arial"/>
          <w:szCs w:val="20"/>
        </w:rP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Id18" w:history="1">
        <w:r w:rsidRPr="0097311D">
          <w:rPr>
            <w:rStyle w:val="Hyperlink"/>
            <w:rFonts w:ascii="Arial" w:hAnsi="Arial" w:cs="Arial"/>
            <w:szCs w:val="20"/>
          </w:rPr>
          <w:t>SAM</w:t>
        </w:r>
      </w:hyperlink>
      <w:r w:rsidRPr="0097311D">
        <w:rPr>
          <w:rFonts w:ascii="Arial" w:hAnsi="Arial" w:cs="Arial"/>
          <w:szCs w:val="20"/>
        </w:rPr>
        <w:t xml:space="preserve">.  </w:t>
      </w:r>
      <w:hyperlink r:id="rId19" w:anchor="FAR_Subpart_4_17" w:history="1">
        <w:r w:rsidRPr="0097311D">
          <w:rPr>
            <w:rStyle w:val="Hyperlink"/>
            <w:rFonts w:ascii="Arial" w:hAnsi="Arial" w:cs="Arial"/>
            <w:szCs w:val="20"/>
          </w:rPr>
          <w:t>FAR 4.1705</w:t>
        </w:r>
      </w:hyperlink>
      <w:r w:rsidRPr="0097311D">
        <w:rPr>
          <w:rFonts w:ascii="Arial" w:hAnsi="Arial" w:cs="Arial"/>
          <w:szCs w:val="20"/>
        </w:rPr>
        <w:t xml:space="preserve"> provides specifics on the data to be reported and applicable clauses.</w:t>
      </w:r>
    </w:p>
    <w:bookmarkEnd w:id="27"/>
    <w:bookmarkEnd w:id="29"/>
    <w:p w14:paraId="5DDC2D1B" w14:textId="5F7AC8E2" w:rsidR="004C5892" w:rsidRDefault="004C5892" w:rsidP="004C5892">
      <w:pPr>
        <w:spacing w:before="0"/>
        <w:rPr>
          <w:rFonts w:ascii="Arial" w:hAnsi="Arial" w:cs="Arial"/>
        </w:rPr>
      </w:pPr>
    </w:p>
    <w:p w14:paraId="04796AA9" w14:textId="77777777" w:rsidR="004C5892" w:rsidRDefault="004C5892" w:rsidP="004C5892">
      <w:pPr>
        <w:spacing w:before="0"/>
        <w:rPr>
          <w:rFonts w:ascii="Arial" w:hAnsi="Arial" w:cs="Arial"/>
        </w:rPr>
      </w:pPr>
    </w:p>
    <w:p w14:paraId="4439D9A8" w14:textId="77777777" w:rsidR="004C5892" w:rsidRDefault="004C5892" w:rsidP="004C5892">
      <w:pPr>
        <w:spacing w:before="0" w:after="0"/>
        <w:rPr>
          <w:rFonts w:ascii="Arial" w:hAnsi="Arial" w:cs="Arial"/>
        </w:rPr>
      </w:pPr>
      <w:r>
        <w:rPr>
          <w:rFonts w:ascii="Arial" w:hAnsi="Arial" w:cs="Arial"/>
        </w:rPr>
        <w:t>HQ, United States Special Operations Command</w:t>
      </w:r>
    </w:p>
    <w:p w14:paraId="7A5FEAA1" w14:textId="77777777" w:rsidR="004C5892" w:rsidRPr="00E36B22" w:rsidRDefault="004C5892" w:rsidP="004C5892">
      <w:pPr>
        <w:spacing w:before="0" w:after="0"/>
        <w:rPr>
          <w:rFonts w:ascii="Arial" w:hAnsi="Arial" w:cs="Arial"/>
        </w:rPr>
      </w:pPr>
      <w:r w:rsidRPr="00E36B22">
        <w:rPr>
          <w:rFonts w:ascii="Arial" w:hAnsi="Arial" w:cs="Arial"/>
        </w:rPr>
        <w:t>Special Operations Forces Acquisition, Technology, and Logistics (SOF AT&amp;L)</w:t>
      </w:r>
    </w:p>
    <w:p w14:paraId="4CB91235" w14:textId="77777777" w:rsidR="004C5892" w:rsidRDefault="004C5892" w:rsidP="004C5892">
      <w:pPr>
        <w:spacing w:before="0" w:after="0"/>
        <w:rPr>
          <w:rFonts w:ascii="Arial" w:hAnsi="Arial" w:cs="Arial"/>
        </w:rPr>
      </w:pPr>
      <w:r>
        <w:rPr>
          <w:rFonts w:ascii="Arial" w:hAnsi="Arial" w:cs="Arial"/>
        </w:rPr>
        <w:t>SOFARS 5637</w:t>
      </w:r>
    </w:p>
    <w:p w14:paraId="72FC4E7F" w14:textId="77777777" w:rsidR="004C5892" w:rsidRDefault="004C5892" w:rsidP="004C5892">
      <w:pPr>
        <w:spacing w:before="0" w:after="0"/>
        <w:rPr>
          <w:rFonts w:ascii="Arial" w:hAnsi="Arial" w:cs="Arial"/>
        </w:rPr>
      </w:pPr>
      <w:r>
        <w:rPr>
          <w:rFonts w:ascii="Arial" w:hAnsi="Arial" w:cs="Arial"/>
        </w:rPr>
        <w:t>February 2007</w:t>
      </w:r>
    </w:p>
    <w:p w14:paraId="2D080BF1" w14:textId="77777777" w:rsidR="007059C1" w:rsidRPr="00BE196B" w:rsidRDefault="007059C1" w:rsidP="00DC7097"/>
    <w:sectPr w:rsidR="007059C1" w:rsidRPr="00BE196B"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1C351" w14:textId="77777777" w:rsidR="004C5892" w:rsidRDefault="004C5892" w:rsidP="00DC7097">
      <w:r>
        <w:separator/>
      </w:r>
    </w:p>
  </w:endnote>
  <w:endnote w:type="continuationSeparator" w:id="0">
    <w:p w14:paraId="322BD068" w14:textId="77777777" w:rsidR="004C5892" w:rsidRDefault="004C5892" w:rsidP="00DC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C680A" w14:textId="77777777" w:rsidR="004C5892" w:rsidRDefault="004C5892" w:rsidP="00DC7097">
      <w:r>
        <w:separator/>
      </w:r>
    </w:p>
  </w:footnote>
  <w:footnote w:type="continuationSeparator" w:id="0">
    <w:p w14:paraId="1FACF6E5" w14:textId="77777777" w:rsidR="004C5892" w:rsidRDefault="004C5892" w:rsidP="00DC7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1F457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70CA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DA0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2010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B456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6E7C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EE83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6C0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8057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B1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9660B"/>
    <w:multiLevelType w:val="hybridMultilevel"/>
    <w:tmpl w:val="55C4AC32"/>
    <w:lvl w:ilvl="0" w:tplc="8E7A53EC">
      <w:start w:val="10"/>
      <w:numFmt w:val="lowerLetter"/>
      <w:lvlText w:val="(%1)"/>
      <w:lvlJc w:val="left"/>
      <w:pPr>
        <w:ind w:left="360" w:hanging="360"/>
      </w:pPr>
    </w:lvl>
    <w:lvl w:ilvl="1" w:tplc="ADC85AE0">
      <w:start w:val="1"/>
      <w:numFmt w:val="decimal"/>
      <w:lvlText w:val="(%2)"/>
      <w:lvlJc w:val="left"/>
      <w:pPr>
        <w:tabs>
          <w:tab w:val="num" w:pos="1440"/>
        </w:tabs>
        <w:ind w:left="1440" w:hanging="360"/>
      </w:pPr>
      <w:rPr>
        <w:rFonts w:hint="default"/>
        <w:sz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1767D7E"/>
    <w:multiLevelType w:val="hybridMultilevel"/>
    <w:tmpl w:val="54CEC0B4"/>
    <w:lvl w:ilvl="0" w:tplc="4EFEE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8E0283"/>
    <w:multiLevelType w:val="hybridMultilevel"/>
    <w:tmpl w:val="9C7262EE"/>
    <w:lvl w:ilvl="0" w:tplc="752484AA">
      <w:start w:val="1"/>
      <w:numFmt w:val="lowerLetter"/>
      <w:lvlText w:val="(%1)"/>
      <w:lvlJc w:val="left"/>
      <w:pPr>
        <w:tabs>
          <w:tab w:val="num" w:pos="360"/>
        </w:tabs>
        <w:ind w:left="0" w:firstLine="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3B372F"/>
    <w:multiLevelType w:val="hybridMultilevel"/>
    <w:tmpl w:val="AE86F6E2"/>
    <w:lvl w:ilvl="0" w:tplc="C9566928">
      <w:start w:val="1"/>
      <w:numFmt w:val="lowerLetter"/>
      <w:lvlText w:val="(%1)"/>
      <w:lvlJc w:val="left"/>
      <w:pPr>
        <w:tabs>
          <w:tab w:val="num" w:pos="360"/>
        </w:tabs>
        <w:ind w:left="0" w:firstLine="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C760C"/>
    <w:multiLevelType w:val="hybridMultilevel"/>
    <w:tmpl w:val="E93091B0"/>
    <w:lvl w:ilvl="0" w:tplc="752484AA">
      <w:start w:val="1"/>
      <w:numFmt w:val="lowerLetter"/>
      <w:lvlText w:val="(%1)"/>
      <w:lvlJc w:val="left"/>
      <w:pPr>
        <w:tabs>
          <w:tab w:val="num" w:pos="360"/>
        </w:tabs>
        <w:ind w:left="0" w:firstLine="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F43784"/>
    <w:multiLevelType w:val="hybridMultilevel"/>
    <w:tmpl w:val="7FA445F0"/>
    <w:lvl w:ilvl="0" w:tplc="54D28780">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EAC2D15"/>
    <w:multiLevelType w:val="hybridMultilevel"/>
    <w:tmpl w:val="70C84564"/>
    <w:lvl w:ilvl="0" w:tplc="959643D6">
      <w:start w:val="1"/>
      <w:numFmt w:val="lowerLetter"/>
      <w:pStyle w:val="Lis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7"/>
  </w:num>
  <w:num w:numId="3">
    <w:abstractNumId w:val="20"/>
  </w:num>
  <w:num w:numId="4">
    <w:abstractNumId w:val="25"/>
  </w:num>
  <w:num w:numId="5">
    <w:abstractNumId w:val="33"/>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4"/>
  </w:num>
  <w:num w:numId="19">
    <w:abstractNumId w:val="34"/>
  </w:num>
  <w:num w:numId="20">
    <w:abstractNumId w:val="10"/>
  </w:num>
  <w:num w:numId="21">
    <w:abstractNumId w:val="26"/>
  </w:num>
  <w:num w:numId="22">
    <w:abstractNumId w:val="32"/>
  </w:num>
  <w:num w:numId="23">
    <w:abstractNumId w:val="18"/>
  </w:num>
  <w:num w:numId="24">
    <w:abstractNumId w:val="16"/>
  </w:num>
  <w:num w:numId="25">
    <w:abstractNumId w:val="15"/>
  </w:num>
  <w:num w:numId="26">
    <w:abstractNumId w:val="12"/>
  </w:num>
  <w:num w:numId="27">
    <w:abstractNumId w:val="28"/>
  </w:num>
  <w:num w:numId="28">
    <w:abstractNumId w:val="11"/>
  </w:num>
  <w:num w:numId="29">
    <w:abstractNumId w:val="35"/>
  </w:num>
  <w:num w:numId="30">
    <w:abstractNumId w:val="31"/>
  </w:num>
  <w:num w:numId="31">
    <w:abstractNumId w:val="13"/>
  </w:num>
  <w:num w:numId="32">
    <w:abstractNumId w:val="26"/>
  </w:num>
  <w:num w:numId="33">
    <w:abstractNumId w:val="26"/>
  </w:num>
  <w:num w:numId="34">
    <w:abstractNumId w:val="18"/>
  </w:num>
  <w:num w:numId="35">
    <w:abstractNumId w:val="18"/>
  </w:num>
  <w:num w:numId="36">
    <w:abstractNumId w:val="26"/>
  </w:num>
  <w:num w:numId="37">
    <w:abstractNumId w:val="26"/>
  </w:num>
  <w:num w:numId="38">
    <w:abstractNumId w:val="26"/>
  </w:num>
  <w:num w:numId="39">
    <w:abstractNumId w:val="17"/>
  </w:num>
  <w:num w:numId="40">
    <w:abstractNumId w:val="19"/>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92"/>
    <w:rsid w:val="00040798"/>
    <w:rsid w:val="00072DE6"/>
    <w:rsid w:val="000C65F5"/>
    <w:rsid w:val="000E19AF"/>
    <w:rsid w:val="000E6E2A"/>
    <w:rsid w:val="000F5037"/>
    <w:rsid w:val="00173206"/>
    <w:rsid w:val="00182208"/>
    <w:rsid w:val="00187D8F"/>
    <w:rsid w:val="00195EAD"/>
    <w:rsid w:val="001A79C7"/>
    <w:rsid w:val="001B5390"/>
    <w:rsid w:val="001D4638"/>
    <w:rsid w:val="002110A6"/>
    <w:rsid w:val="00214BB7"/>
    <w:rsid w:val="00220AA5"/>
    <w:rsid w:val="00225B71"/>
    <w:rsid w:val="00261D44"/>
    <w:rsid w:val="00274018"/>
    <w:rsid w:val="00275457"/>
    <w:rsid w:val="002954CC"/>
    <w:rsid w:val="00326934"/>
    <w:rsid w:val="003608B6"/>
    <w:rsid w:val="003768C3"/>
    <w:rsid w:val="003772D3"/>
    <w:rsid w:val="003B3152"/>
    <w:rsid w:val="003F0F42"/>
    <w:rsid w:val="0040054A"/>
    <w:rsid w:val="004126BB"/>
    <w:rsid w:val="00412DCC"/>
    <w:rsid w:val="00417B94"/>
    <w:rsid w:val="00422A3D"/>
    <w:rsid w:val="00442AD5"/>
    <w:rsid w:val="00452346"/>
    <w:rsid w:val="00461665"/>
    <w:rsid w:val="00474B54"/>
    <w:rsid w:val="00482B1F"/>
    <w:rsid w:val="00490D33"/>
    <w:rsid w:val="00491BBC"/>
    <w:rsid w:val="004A5A42"/>
    <w:rsid w:val="004B17FA"/>
    <w:rsid w:val="004C5892"/>
    <w:rsid w:val="004D0746"/>
    <w:rsid w:val="004E2F28"/>
    <w:rsid w:val="004E416B"/>
    <w:rsid w:val="004F52F1"/>
    <w:rsid w:val="00581655"/>
    <w:rsid w:val="005A4035"/>
    <w:rsid w:val="005C406D"/>
    <w:rsid w:val="005D5C88"/>
    <w:rsid w:val="0061650B"/>
    <w:rsid w:val="00683B9C"/>
    <w:rsid w:val="00694479"/>
    <w:rsid w:val="006A2BFC"/>
    <w:rsid w:val="006D057C"/>
    <w:rsid w:val="0070464A"/>
    <w:rsid w:val="007059C1"/>
    <w:rsid w:val="00714E43"/>
    <w:rsid w:val="00737021"/>
    <w:rsid w:val="00753CD5"/>
    <w:rsid w:val="007543B1"/>
    <w:rsid w:val="007559D7"/>
    <w:rsid w:val="00761A95"/>
    <w:rsid w:val="007703A5"/>
    <w:rsid w:val="00771FAA"/>
    <w:rsid w:val="00787B4D"/>
    <w:rsid w:val="0079500D"/>
    <w:rsid w:val="007C1D83"/>
    <w:rsid w:val="007D22E4"/>
    <w:rsid w:val="008114E7"/>
    <w:rsid w:val="00817171"/>
    <w:rsid w:val="008921AD"/>
    <w:rsid w:val="008B3E9B"/>
    <w:rsid w:val="008C4E69"/>
    <w:rsid w:val="0091065B"/>
    <w:rsid w:val="0096600F"/>
    <w:rsid w:val="009703A1"/>
    <w:rsid w:val="00991E52"/>
    <w:rsid w:val="009C4D36"/>
    <w:rsid w:val="00A15E6F"/>
    <w:rsid w:val="00A40B36"/>
    <w:rsid w:val="00A50C02"/>
    <w:rsid w:val="00A70C79"/>
    <w:rsid w:val="00A71E8C"/>
    <w:rsid w:val="00A84862"/>
    <w:rsid w:val="00AA152B"/>
    <w:rsid w:val="00B242FC"/>
    <w:rsid w:val="00B26F4A"/>
    <w:rsid w:val="00B30CA5"/>
    <w:rsid w:val="00B51BD8"/>
    <w:rsid w:val="00B52521"/>
    <w:rsid w:val="00B5536C"/>
    <w:rsid w:val="00B727F8"/>
    <w:rsid w:val="00BE196B"/>
    <w:rsid w:val="00BE6AEA"/>
    <w:rsid w:val="00C271D5"/>
    <w:rsid w:val="00C310FE"/>
    <w:rsid w:val="00C57FC4"/>
    <w:rsid w:val="00C72030"/>
    <w:rsid w:val="00C946DE"/>
    <w:rsid w:val="00C96C49"/>
    <w:rsid w:val="00CB2806"/>
    <w:rsid w:val="00CB2A34"/>
    <w:rsid w:val="00CF18B4"/>
    <w:rsid w:val="00D23DBC"/>
    <w:rsid w:val="00D50A0B"/>
    <w:rsid w:val="00D828A5"/>
    <w:rsid w:val="00DA6976"/>
    <w:rsid w:val="00DC7097"/>
    <w:rsid w:val="00DD456B"/>
    <w:rsid w:val="00E13A99"/>
    <w:rsid w:val="00E35FEF"/>
    <w:rsid w:val="00E41EC2"/>
    <w:rsid w:val="00E4240B"/>
    <w:rsid w:val="00E82704"/>
    <w:rsid w:val="00EB5CEC"/>
    <w:rsid w:val="00EC19C2"/>
    <w:rsid w:val="00EC280F"/>
    <w:rsid w:val="00EE39BA"/>
    <w:rsid w:val="00EF6835"/>
    <w:rsid w:val="00F11651"/>
    <w:rsid w:val="00F11A9F"/>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D775D"/>
  <w15:docId w15:val="{41E172B6-2373-46E3-8490-8AE71413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892"/>
    <w:pPr>
      <w:widowControl w:val="0"/>
      <w:spacing w:before="100" w:after="100"/>
    </w:pPr>
    <w:rPr>
      <w:szCs w:val="24"/>
    </w:rPr>
  </w:style>
  <w:style w:type="paragraph" w:styleId="Heading1">
    <w:name w:val="heading 1"/>
    <w:basedOn w:val="Normal"/>
    <w:next w:val="Normal"/>
    <w:link w:val="Heading1Char"/>
    <w:qFormat/>
    <w:rsid w:val="004C5892"/>
    <w:pPr>
      <w:spacing w:before="0" w:after="120"/>
      <w:outlineLvl w:val="0"/>
    </w:pPr>
    <w:rPr>
      <w:rFonts w:ascii="Arial" w:hAnsi="Arial" w:cs="Arial"/>
      <w:b/>
      <w:bCs/>
      <w:color w:val="000000" w:themeColor="text1"/>
      <w:sz w:val="36"/>
      <w:szCs w:val="36"/>
    </w:rPr>
  </w:style>
  <w:style w:type="paragraph" w:styleId="Heading2">
    <w:name w:val="heading 2"/>
    <w:basedOn w:val="Normal"/>
    <w:next w:val="Normal"/>
    <w:link w:val="Heading2Char"/>
    <w:unhideWhenUsed/>
    <w:qFormat/>
    <w:rsid w:val="004C5892"/>
    <w:pPr>
      <w:outlineLvl w:val="1"/>
    </w:pPr>
    <w:rPr>
      <w:rFonts w:ascii="Arial" w:eastAsiaTheme="majorEastAsia" w:hAnsi="Arial" w:cs="Arial"/>
      <w:b/>
      <w:bCs/>
      <w:color w:val="000000" w:themeColor="text1"/>
      <w:szCs w:val="26"/>
    </w:rPr>
  </w:style>
  <w:style w:type="paragraph" w:styleId="Heading3">
    <w:name w:val="heading 3"/>
    <w:basedOn w:val="Normal"/>
    <w:next w:val="Normal"/>
    <w:link w:val="Heading3Char"/>
    <w:unhideWhenUsed/>
    <w:qFormat/>
    <w:rsid w:val="004C5892"/>
    <w:pPr>
      <w:outlineLvl w:val="2"/>
    </w:pPr>
    <w:rPr>
      <w:rFonts w:ascii="Arial" w:eastAsiaTheme="majorEastAsia" w:hAnsi="Arial" w:cs="Arial"/>
      <w:b/>
      <w:bCs/>
      <w:color w:val="000000" w:themeColor="text1"/>
    </w:rPr>
  </w:style>
  <w:style w:type="paragraph" w:styleId="Heading4">
    <w:name w:val="heading 4"/>
    <w:basedOn w:val="Normal"/>
    <w:next w:val="Normal"/>
    <w:link w:val="Heading4Char"/>
    <w:unhideWhenUsed/>
    <w:qFormat/>
    <w:rsid w:val="004C5892"/>
    <w:pPr>
      <w:outlineLvl w:val="3"/>
    </w:pPr>
    <w:rPr>
      <w:rFonts w:ascii="Arial" w:eastAsiaTheme="majorEastAsia" w:hAnsi="Arial" w:cs="Arial"/>
      <w:b/>
      <w:bCs/>
      <w:iCs/>
      <w:color w:val="000000" w:themeColor="text1"/>
    </w:rPr>
  </w:style>
  <w:style w:type="paragraph" w:styleId="Heading5">
    <w:name w:val="heading 5"/>
    <w:basedOn w:val="Normal"/>
    <w:next w:val="Normal"/>
    <w:link w:val="Heading5Char"/>
    <w:unhideWhenUsed/>
    <w:qFormat/>
    <w:rsid w:val="007D22E4"/>
    <w:pPr>
      <w:keepNext/>
      <w:keepLines/>
      <w:spacing w:before="4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4C5892"/>
    <w:rPr>
      <w:rFonts w:ascii="Arial" w:eastAsiaTheme="majorEastAsia" w:hAnsi="Arial" w:cs="Arial"/>
      <w:b/>
      <w:bCs/>
      <w:color w:val="000000" w:themeColor="text1"/>
      <w:szCs w:val="26"/>
    </w:rPr>
  </w:style>
  <w:style w:type="character" w:customStyle="1" w:styleId="Heading1Char">
    <w:name w:val="Heading 1 Char"/>
    <w:basedOn w:val="DefaultParagraphFont"/>
    <w:link w:val="Heading1"/>
    <w:rsid w:val="004C5892"/>
    <w:rPr>
      <w:rFonts w:ascii="Arial" w:hAnsi="Arial" w:cs="Arial"/>
      <w:b/>
      <w:bCs/>
      <w:color w:val="000000" w:themeColor="text1"/>
      <w:sz w:val="36"/>
      <w:szCs w:val="36"/>
    </w:rPr>
  </w:style>
  <w:style w:type="character" w:customStyle="1" w:styleId="Heading3Char">
    <w:name w:val="Heading 3 Char"/>
    <w:basedOn w:val="DefaultParagraphFont"/>
    <w:link w:val="Heading3"/>
    <w:rsid w:val="004C5892"/>
    <w:rPr>
      <w:rFonts w:ascii="Arial" w:eastAsiaTheme="majorEastAsia" w:hAnsi="Arial" w:cs="Arial"/>
      <w:b/>
      <w:bCs/>
      <w:color w:val="000000" w:themeColor="text1"/>
      <w:szCs w:val="24"/>
    </w:rPr>
  </w:style>
  <w:style w:type="character" w:customStyle="1" w:styleId="Heading4Char">
    <w:name w:val="Heading 4 Char"/>
    <w:basedOn w:val="DefaultParagraphFont"/>
    <w:link w:val="Heading4"/>
    <w:rsid w:val="004C5892"/>
    <w:rPr>
      <w:rFonts w:ascii="Arial" w:eastAsiaTheme="majorEastAsia" w:hAnsi="Arial" w:cs="Arial"/>
      <w:b/>
      <w:bCs/>
      <w:iCs/>
      <w:color w:val="000000" w:themeColor="text1"/>
      <w:szCs w:val="24"/>
    </w:rPr>
  </w:style>
  <w:style w:type="paragraph" w:styleId="List">
    <w:name w:val="List"/>
    <w:basedOn w:val="Normal"/>
    <w:unhideWhenUsed/>
    <w:rsid w:val="00214BB7"/>
    <w:pPr>
      <w:spacing w:before="120"/>
    </w:pPr>
  </w:style>
  <w:style w:type="paragraph" w:styleId="List2">
    <w:name w:val="List 2"/>
    <w:basedOn w:val="Normal"/>
    <w:unhideWhenUsed/>
    <w:rsid w:val="004C5892"/>
    <w:pPr>
      <w:ind w:left="360"/>
    </w:pPr>
    <w:rPr>
      <w:rFonts w:ascii="Arial" w:hAnsi="Arial" w:cs="Arial"/>
      <w:color w:val="000000" w:themeColor="text1"/>
    </w:rPr>
  </w:style>
  <w:style w:type="paragraph" w:styleId="List3">
    <w:name w:val="List 3"/>
    <w:basedOn w:val="Normal"/>
    <w:link w:val="List3Char"/>
    <w:unhideWhenUsed/>
    <w:qFormat/>
    <w:rsid w:val="004C5892"/>
    <w:pPr>
      <w:spacing w:before="120"/>
      <w:ind w:left="720"/>
    </w:pPr>
    <w:rPr>
      <w:rFonts w:ascii="Arial" w:hAnsi="Arial" w:cs="Arial"/>
    </w:rPr>
  </w:style>
  <w:style w:type="paragraph" w:styleId="List4">
    <w:name w:val="List 4"/>
    <w:basedOn w:val="Normal"/>
    <w:rsid w:val="00BE6AEA"/>
    <w:pPr>
      <w:ind w:left="1080"/>
    </w:pPr>
    <w:rPr>
      <w:rFonts w:cs="Arial"/>
    </w:rPr>
  </w:style>
  <w:style w:type="paragraph" w:customStyle="1" w:styleId="List1">
    <w:name w:val="List 1"/>
    <w:basedOn w:val="List3"/>
    <w:link w:val="List1Char"/>
    <w:qFormat/>
    <w:rsid w:val="004C5892"/>
    <w:pPr>
      <w:numPr>
        <w:numId w:val="43"/>
      </w:numPr>
      <w:ind w:left="0" w:firstLine="0"/>
    </w:pPr>
    <w:rPr>
      <w:color w:val="000000" w:themeColor="text1"/>
    </w:rPr>
  </w:style>
  <w:style w:type="character" w:customStyle="1" w:styleId="List3Char">
    <w:name w:val="List 3 Char"/>
    <w:basedOn w:val="DefaultParagraphFont"/>
    <w:link w:val="List3"/>
    <w:rsid w:val="004C5892"/>
    <w:rPr>
      <w:rFonts w:ascii="Arial" w:hAnsi="Arial" w:cs="Arial"/>
      <w:szCs w:val="24"/>
    </w:rPr>
  </w:style>
  <w:style w:type="character" w:customStyle="1" w:styleId="List1Char">
    <w:name w:val="List 1 Char"/>
    <w:basedOn w:val="List3Char"/>
    <w:link w:val="List1"/>
    <w:rsid w:val="004C5892"/>
    <w:rPr>
      <w:rFonts w:ascii="Arial" w:hAnsi="Arial" w:cs="Arial"/>
      <w:color w:val="000000" w:themeColor="text1"/>
      <w:szCs w:val="24"/>
    </w:rPr>
  </w:style>
  <w:style w:type="paragraph" w:styleId="TOC1">
    <w:name w:val="toc 1"/>
    <w:basedOn w:val="Normal"/>
    <w:next w:val="Normal"/>
    <w:autoRedefine/>
    <w:uiPriority w:val="39"/>
    <w:unhideWhenUsed/>
    <w:qFormat/>
    <w:rsid w:val="004E2F28"/>
    <w:rPr>
      <w:rFonts w:ascii="Arial" w:hAnsi="Arial"/>
      <w:b/>
      <w:sz w:val="22"/>
    </w:rPr>
  </w:style>
  <w:style w:type="paragraph" w:styleId="TOC2">
    <w:name w:val="toc 2"/>
    <w:basedOn w:val="Normal"/>
    <w:next w:val="Normal"/>
    <w:autoRedefine/>
    <w:uiPriority w:val="39"/>
    <w:unhideWhenUsed/>
    <w:qFormat/>
    <w:rsid w:val="004E2F28"/>
    <w:pPr>
      <w:ind w:left="220"/>
    </w:pPr>
    <w:rPr>
      <w:rFonts w:ascii="Arial" w:hAnsi="Arial"/>
      <w:b/>
      <w:sz w:val="22"/>
    </w:rPr>
  </w:style>
  <w:style w:type="character" w:customStyle="1" w:styleId="Heading5Char">
    <w:name w:val="Heading 5 Char"/>
    <w:basedOn w:val="DefaultParagraphFont"/>
    <w:link w:val="Heading5"/>
    <w:rsid w:val="007D22E4"/>
    <w:rPr>
      <w:rFonts w:ascii="Arial" w:eastAsiaTheme="majorEastAsia" w:hAnsi="Arial" w:cstheme="majorBidi"/>
      <w:color w:val="000000" w:themeColor="text1"/>
    </w:rPr>
  </w:style>
  <w:style w:type="paragraph" w:customStyle="1" w:styleId="Style1">
    <w:name w:val="Style1"/>
    <w:basedOn w:val="Normal"/>
    <w:rsid w:val="004C5892"/>
    <w:pPr>
      <w:snapToGrid w:val="0"/>
      <w:jc w:val="center"/>
    </w:pPr>
    <w:rPr>
      <w:rFonts w:ascii="Arial" w:hAnsi="Arial" w:cs="Arial"/>
      <w:b/>
      <w:bCs/>
      <w:sz w:val="24"/>
    </w:rPr>
  </w:style>
  <w:style w:type="paragraph" w:styleId="TOCHeading">
    <w:name w:val="TOC Heading"/>
    <w:basedOn w:val="Heading1"/>
    <w:next w:val="Normal"/>
    <w:uiPriority w:val="39"/>
    <w:unhideWhenUsed/>
    <w:qFormat/>
    <w:rsid w:val="004E2F28"/>
    <w:pPr>
      <w:keepNext/>
      <w:keepLines/>
      <w:widowControl/>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qFormat/>
    <w:rsid w:val="004E2F28"/>
    <w:pPr>
      <w:ind w:left="400"/>
    </w:pPr>
    <w:rPr>
      <w:rFonts w:ascii="Arial" w:hAnsi="Arial"/>
      <w:sz w:val="22"/>
    </w:rPr>
  </w:style>
  <w:style w:type="paragraph" w:styleId="TOC4">
    <w:name w:val="toc 4"/>
    <w:basedOn w:val="Normal"/>
    <w:next w:val="Normal"/>
    <w:autoRedefine/>
    <w:uiPriority w:val="39"/>
    <w:unhideWhenUsed/>
    <w:qFormat/>
    <w:rsid w:val="004E2F28"/>
    <w:pPr>
      <w:ind w:left="60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arsite.hill.af.mil/reghtml/regs/far2afmcfars/fardfars/dfars/dfars237.htm" TargetMode="External"/><Relationship Id="rId18" Type="http://schemas.openxmlformats.org/officeDocument/2006/relationships/hyperlink" Target="https://sam.gov/SA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farsite.hill.af.mil/reghtml/regs/far2afmcfars/fardfars/far/37.htm" TargetMode="External"/><Relationship Id="rId17" Type="http://schemas.openxmlformats.org/officeDocument/2006/relationships/hyperlink" Target="https://sof.atl.socom.mil/sites/K/SOFARS_DCG/SOFARS/5601.docx" TargetMode="External"/><Relationship Id="rId2" Type="http://schemas.openxmlformats.org/officeDocument/2006/relationships/customXml" Target="../customXml/item2.xml"/><Relationship Id="rId16" Type="http://schemas.openxmlformats.org/officeDocument/2006/relationships/hyperlink" Target="http://farsite.hill.af.mil/reghtml/regs/far2afmcfars/fardfars/far/37.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atl.socom.mil/sites/K/SOFARS_DCG/SOFARS/5609.docx" TargetMode="External"/><Relationship Id="rId5" Type="http://schemas.openxmlformats.org/officeDocument/2006/relationships/numbering" Target="numbering.xml"/><Relationship Id="rId15" Type="http://schemas.openxmlformats.org/officeDocument/2006/relationships/hyperlink" Target="https://sof.atl.socom.mil/sites/K/SOFARS_DCG/SOFARS/5652.docx" TargetMode="External"/><Relationship Id="rId10" Type="http://schemas.openxmlformats.org/officeDocument/2006/relationships/endnotes" Target="endnotes.xml"/><Relationship Id="rId19" Type="http://schemas.openxmlformats.org/officeDocument/2006/relationships/hyperlink" Target="https://www.acquisition.gov/far/part-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f.atl.socom.mil/sites/K/SOFARS_DCG/SOFARS/Attachment_5601-1.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20v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E6E042-1F06-4C5C-B5A1-7E3BBD687D9A}">
  <ds:schemaRefs>
    <ds:schemaRef ds:uri="http://schemas.openxmlformats.org/officeDocument/2006/bibliography"/>
  </ds:schemaRefs>
</ds:datastoreItem>
</file>

<file path=customXml/itemProps2.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A682B8-0D69-490D-9A5E-C70CBFD7E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SOFARS styles v3</Template>
  <TotalTime>1</TotalTime>
  <Pages>3</Pages>
  <Words>606</Words>
  <Characters>5147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5637 - SERVICE CONTRACTING</dc:title>
  <dc:creator>Duchesne, Marian B NH-IIICIV USSOCOM SOCOM (USA)</dc:creator>
  <cp:lastModifiedBy>Duchesne, Marian B CIV USSOCOM SOCOM (USA)</cp:lastModifiedBy>
  <cp:revision>2</cp:revision>
  <cp:lastPrinted>2010-02-11T14:15:00Z</cp:lastPrinted>
  <dcterms:created xsi:type="dcterms:W3CDTF">2021-06-24T11:41:00Z</dcterms:created>
  <dcterms:modified xsi:type="dcterms:W3CDTF">2021-06-24T11:41:00Z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