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767013" cy="1383506"/>
            <wp:effectExtent b="0" l="0" r="0" t="0"/>
            <wp:docPr descr="CXO Logo (1).PNG" id="1" name="image2.png"/>
            <a:graphic>
              <a:graphicData uri="http://schemas.openxmlformats.org/drawingml/2006/picture">
                <pic:pic>
                  <pic:nvPicPr>
                    <pic:cNvPr descr="CXO Logo (1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38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Inside Government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Eisenhower Executive Office Building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Indian Treaty Room 474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July 11,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8:30 AM-2:30 PM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AGENDA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8:30-9:00 AM:</w:t>
        <w:tab/>
        <w:tab/>
        <w:t xml:space="preserve">Enter Building and Networking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9:00-9:30 AM: </w:t>
        <w:tab/>
        <w:t xml:space="preserve">Mick Mulvaney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>
          <w:i w:val="1"/>
          <w:color w:val="1f497d"/>
        </w:rPr>
      </w:pPr>
      <w:r w:rsidDel="00000000" w:rsidR="00000000" w:rsidRPr="00000000">
        <w:rPr>
          <w:i w:val="1"/>
          <w:rtl w:val="0"/>
        </w:rPr>
        <w:t xml:space="preserve">Director, Office of Management and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Brief Bio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Administration vision of a more efficient and effective government 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Leadership to support Reform and workforce efforts 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One or two recommendations from personal experience that would make mid-career employees successful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9:30-9:45 AM: </w:t>
        <w:tab/>
        <w:t xml:space="preserve">Discussion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9:45-10:30 AM: </w:t>
        <w:tab/>
        <w:t xml:space="preserve">Emily Murphy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Senior Advisor to the Administrator, GSA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GSA and how provide support Government-Wide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career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Recommendations for mid-career federal employees: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 opportunities?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Leadership recommendations?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10:30-11:00AM: </w:t>
        <w:tab/>
        <w:t xml:space="preserve">Working Group Discussion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11:00-12:00 PM: </w:t>
        <w:tab/>
        <w:t xml:space="preserve">Lunch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12:00-1:00 PM: </w:t>
        <w:tab/>
        <w:t xml:space="preserve">David Feit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Chief Financial Officer, Executive Office of the President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to hear from his professional journey and reasons for joining the Federal Government.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formulation for the EOP.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Donald Hertig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Deputy Chief Financial Officer, Executive Office of the President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Importance of service in the federal workforce and how the career staff can support the vision of the Administration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of the CFO office at the EOP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leadership 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1:00-1:15PM: </w:t>
        <w:tab/>
        <w:tab/>
        <w:t xml:space="preserve">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1:15-2:00PM: </w:t>
        <w:tab/>
        <w:tab/>
        <w:t xml:space="preserve">Althea Kireilis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Chief Procurement and Contract Management Officer,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Executive Office of the President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2:00-2:30 PM </w:t>
        <w:tab/>
        <w:tab/>
        <w:t xml:space="preserve">Tour of the Eisenhower Executive Office Building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