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1204" w14:textId="68C9BBB9" w:rsidR="00E35C5A" w:rsidRDefault="00E35C5A" w:rsidP="00E35C5A">
      <w:pPr>
        <w:spacing w:line="276" w:lineRule="auto"/>
        <w:jc w:val="center"/>
        <w:rPr>
          <w:rFonts w:ascii="Times New Roman" w:hAnsi="Times New Roman" w:cs="Times New Roman"/>
          <w:b/>
          <w:sz w:val="28"/>
          <w:szCs w:val="28"/>
        </w:rPr>
      </w:pPr>
      <w:bookmarkStart w:id="0" w:name="_GoBack"/>
      <w:bookmarkEnd w:id="0"/>
      <w:r w:rsidRPr="00E35C5A">
        <w:rPr>
          <w:rFonts w:ascii="Times New Roman" w:hAnsi="Times New Roman" w:cs="Times New Roman"/>
          <w:b/>
          <w:sz w:val="28"/>
          <w:szCs w:val="28"/>
        </w:rPr>
        <w:t>Measuring the Impact of the Uniform Guidance</w:t>
      </w:r>
    </w:p>
    <w:p w14:paraId="1E33954E" w14:textId="77777777" w:rsidR="00E35C5A" w:rsidRPr="00DF4787" w:rsidRDefault="00E35C5A" w:rsidP="00E35C5A">
      <w:pPr>
        <w:spacing w:line="276" w:lineRule="auto"/>
        <w:jc w:val="center"/>
        <w:rPr>
          <w:rFonts w:ascii="Times New Roman" w:hAnsi="Times New Roman" w:cs="Times New Roman"/>
          <w:b/>
          <w:sz w:val="24"/>
          <w:szCs w:val="24"/>
        </w:rPr>
      </w:pPr>
    </w:p>
    <w:p w14:paraId="5107C4C8" w14:textId="0489761D" w:rsidR="005D4567" w:rsidRPr="00DF4787" w:rsidRDefault="00F11415"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On December 26, 2013 </w:t>
      </w:r>
      <w:r w:rsidR="00125A6B" w:rsidRPr="00DF4787">
        <w:rPr>
          <w:rFonts w:ascii="Times New Roman" w:hAnsi="Times New Roman" w:cs="Times New Roman"/>
          <w:sz w:val="24"/>
          <w:szCs w:val="24"/>
        </w:rPr>
        <w:t>Office of Management and Budget (</w:t>
      </w:r>
      <w:r w:rsidR="008B7DE9" w:rsidRPr="00DF4787">
        <w:rPr>
          <w:rFonts w:ascii="Times New Roman" w:hAnsi="Times New Roman" w:cs="Times New Roman"/>
          <w:sz w:val="24"/>
          <w:szCs w:val="24"/>
        </w:rPr>
        <w:t>OMB</w:t>
      </w:r>
      <w:r w:rsidR="00125A6B" w:rsidRPr="00DF4787">
        <w:rPr>
          <w:rFonts w:ascii="Times New Roman" w:hAnsi="Times New Roman" w:cs="Times New Roman"/>
          <w:sz w:val="24"/>
          <w:szCs w:val="24"/>
        </w:rPr>
        <w:t>)</w:t>
      </w:r>
      <w:r w:rsidR="008B7DE9" w:rsidRPr="00DF4787">
        <w:rPr>
          <w:rFonts w:ascii="Times New Roman" w:hAnsi="Times New Roman" w:cs="Times New Roman"/>
          <w:sz w:val="24"/>
          <w:szCs w:val="24"/>
        </w:rPr>
        <w:t xml:space="preserve"> published final guidance in 2 C.F.R 200 titled </w:t>
      </w:r>
      <w:r w:rsidR="008B7DE9" w:rsidRPr="00DF4787">
        <w:rPr>
          <w:rFonts w:ascii="Times New Roman" w:hAnsi="Times New Roman" w:cs="Times New Roman"/>
          <w:i/>
          <w:sz w:val="24"/>
          <w:szCs w:val="24"/>
        </w:rPr>
        <w:t>Uniform Administrative Requirements, Cost Principles, and Audit Requirements for Federal Awards</w:t>
      </w:r>
      <w:r w:rsidR="005D4567" w:rsidRPr="00DF4787">
        <w:rPr>
          <w:rFonts w:ascii="Times New Roman" w:hAnsi="Times New Roman" w:cs="Times New Roman"/>
          <w:i/>
          <w:sz w:val="24"/>
          <w:szCs w:val="24"/>
        </w:rPr>
        <w:t xml:space="preserve"> </w:t>
      </w:r>
      <w:r w:rsidR="005D4567" w:rsidRPr="00DF4787">
        <w:rPr>
          <w:rFonts w:ascii="Times New Roman" w:hAnsi="Times New Roman" w:cs="Times New Roman"/>
          <w:sz w:val="24"/>
          <w:szCs w:val="24"/>
        </w:rPr>
        <w:t>in order</w:t>
      </w:r>
      <w:r w:rsidR="008B7DE9" w:rsidRPr="00DF4787">
        <w:rPr>
          <w:rFonts w:ascii="Times New Roman" w:hAnsi="Times New Roman" w:cs="Times New Roman"/>
          <w:sz w:val="24"/>
          <w:szCs w:val="24"/>
        </w:rPr>
        <w:t xml:space="preserve"> to improve the effectiveness and efficiency of Federal financial assistance.</w:t>
      </w:r>
      <w:r w:rsidR="005078C8">
        <w:rPr>
          <w:rFonts w:ascii="Times New Roman" w:hAnsi="Times New Roman" w:cs="Times New Roman"/>
          <w:sz w:val="24"/>
          <w:szCs w:val="24"/>
        </w:rPr>
        <w:t xml:space="preserve"> </w:t>
      </w:r>
      <w:r w:rsidR="005D4567" w:rsidRPr="00DF4787">
        <w:rPr>
          <w:rFonts w:ascii="Times New Roman" w:hAnsi="Times New Roman" w:cs="Times New Roman"/>
          <w:sz w:val="24"/>
          <w:szCs w:val="24"/>
        </w:rPr>
        <w:t xml:space="preserve">The guidance served as an instrument to better target financial risk and better direct resources in order to achieve evidence-based outcomes.  </w:t>
      </w:r>
    </w:p>
    <w:p w14:paraId="3214FCC1" w14:textId="0BCAC105" w:rsidR="009F5D4D" w:rsidRPr="00DF4787" w:rsidRDefault="005D4567"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In an effort to assure effective implementation, the Council on Financial Assistance Reform (COFAR) established metrics to gauge how the guidance addressed its intended enhancements and to measure the performance of the Federal government’s work in the management of assistance in the form of </w:t>
      </w:r>
      <w:r w:rsidR="00125A6B" w:rsidRPr="00DF4787">
        <w:rPr>
          <w:rFonts w:ascii="Times New Roman" w:hAnsi="Times New Roman" w:cs="Times New Roman"/>
          <w:sz w:val="24"/>
          <w:szCs w:val="24"/>
        </w:rPr>
        <w:t>Federal financial assistance</w:t>
      </w:r>
      <w:r w:rsidRPr="00DF4787">
        <w:rPr>
          <w:rFonts w:ascii="Times New Roman" w:hAnsi="Times New Roman" w:cs="Times New Roman"/>
          <w:sz w:val="24"/>
          <w:szCs w:val="24"/>
        </w:rPr>
        <w:t>.</w:t>
      </w:r>
      <w:r w:rsidR="005078C8">
        <w:rPr>
          <w:rFonts w:ascii="Times New Roman" w:hAnsi="Times New Roman" w:cs="Times New Roman"/>
          <w:sz w:val="24"/>
          <w:szCs w:val="24"/>
        </w:rPr>
        <w:t xml:space="preserve"> </w:t>
      </w:r>
      <w:r w:rsidR="00125A6B" w:rsidRPr="00DF4787">
        <w:rPr>
          <w:rFonts w:ascii="Times New Roman" w:hAnsi="Times New Roman" w:cs="Times New Roman"/>
          <w:sz w:val="24"/>
          <w:szCs w:val="24"/>
        </w:rPr>
        <w:t xml:space="preserve">On September 30, 2014 </w:t>
      </w:r>
      <w:r w:rsidR="00781189" w:rsidRPr="00DF4787">
        <w:rPr>
          <w:rFonts w:ascii="Times New Roman" w:hAnsi="Times New Roman" w:cs="Times New Roman"/>
          <w:sz w:val="24"/>
          <w:szCs w:val="24"/>
        </w:rPr>
        <w:t xml:space="preserve">OMB issued </w:t>
      </w:r>
      <w:hyperlink r:id="rId7" w:history="1">
        <w:r w:rsidR="00E35C5A" w:rsidRPr="00DF4787">
          <w:rPr>
            <w:rStyle w:val="Hyperlink"/>
            <w:rFonts w:ascii="Times New Roman" w:hAnsi="Times New Roman" w:cs="Times New Roman"/>
            <w:sz w:val="24"/>
            <w:szCs w:val="24"/>
          </w:rPr>
          <w:t>M</w:t>
        </w:r>
        <w:r w:rsidR="00125A6B" w:rsidRPr="00DF4787">
          <w:rPr>
            <w:rStyle w:val="Hyperlink"/>
            <w:rFonts w:ascii="Times New Roman" w:hAnsi="Times New Roman" w:cs="Times New Roman"/>
            <w:sz w:val="24"/>
            <w:szCs w:val="24"/>
          </w:rPr>
          <w:t xml:space="preserve">emorandum </w:t>
        </w:r>
        <w:r w:rsidR="00781189" w:rsidRPr="00DF4787">
          <w:rPr>
            <w:rStyle w:val="Hyperlink"/>
            <w:rFonts w:ascii="Times New Roman" w:hAnsi="Times New Roman" w:cs="Times New Roman"/>
            <w:sz w:val="24"/>
            <w:szCs w:val="24"/>
          </w:rPr>
          <w:t>M-14-17</w:t>
        </w:r>
      </w:hyperlink>
      <w:r w:rsidR="00781189" w:rsidRPr="00DF4787">
        <w:rPr>
          <w:rFonts w:ascii="Times New Roman" w:hAnsi="Times New Roman" w:cs="Times New Roman"/>
          <w:sz w:val="24"/>
          <w:szCs w:val="24"/>
        </w:rPr>
        <w:t xml:space="preserve"> </w:t>
      </w:r>
      <w:r w:rsidR="00125A6B" w:rsidRPr="00DF4787">
        <w:rPr>
          <w:rFonts w:ascii="Times New Roman" w:hAnsi="Times New Roman" w:cs="Times New Roman"/>
          <w:sz w:val="24"/>
          <w:szCs w:val="24"/>
        </w:rPr>
        <w:t xml:space="preserve">to all executive </w:t>
      </w:r>
      <w:r w:rsidR="00DE6190" w:rsidRPr="00DF4787">
        <w:rPr>
          <w:rFonts w:ascii="Times New Roman" w:hAnsi="Times New Roman" w:cs="Times New Roman"/>
          <w:sz w:val="24"/>
          <w:szCs w:val="24"/>
        </w:rPr>
        <w:t>Departments and Agency</w:t>
      </w:r>
      <w:r w:rsidR="00125A6B" w:rsidRPr="00DF4787">
        <w:rPr>
          <w:rFonts w:ascii="Times New Roman" w:hAnsi="Times New Roman" w:cs="Times New Roman"/>
          <w:sz w:val="24"/>
          <w:szCs w:val="24"/>
        </w:rPr>
        <w:t xml:space="preserve"> </w:t>
      </w:r>
      <w:r w:rsidR="00DE6190" w:rsidRPr="00DF4787">
        <w:rPr>
          <w:rFonts w:ascii="Times New Roman" w:hAnsi="Times New Roman" w:cs="Times New Roman"/>
          <w:sz w:val="24"/>
          <w:szCs w:val="24"/>
        </w:rPr>
        <w:t>Chief Financial Officers</w:t>
      </w:r>
      <w:r w:rsidR="00125A6B" w:rsidRPr="00DF4787">
        <w:rPr>
          <w:rFonts w:ascii="Times New Roman" w:hAnsi="Times New Roman" w:cs="Times New Roman"/>
          <w:sz w:val="24"/>
          <w:szCs w:val="24"/>
        </w:rPr>
        <w:t xml:space="preserve"> </w:t>
      </w:r>
      <w:r w:rsidR="00DE6190" w:rsidRPr="00DF4787">
        <w:rPr>
          <w:rFonts w:ascii="Times New Roman" w:hAnsi="Times New Roman" w:cs="Times New Roman"/>
          <w:sz w:val="24"/>
          <w:szCs w:val="24"/>
        </w:rPr>
        <w:t xml:space="preserve">(CFO) </w:t>
      </w:r>
      <w:r w:rsidR="00125A6B" w:rsidRPr="00DF4787">
        <w:rPr>
          <w:rFonts w:ascii="Times New Roman" w:hAnsi="Times New Roman" w:cs="Times New Roman"/>
          <w:sz w:val="24"/>
          <w:szCs w:val="24"/>
        </w:rPr>
        <w:t>that mana</w:t>
      </w:r>
      <w:r w:rsidR="00DE6190" w:rsidRPr="00DF4787">
        <w:rPr>
          <w:rFonts w:ascii="Times New Roman" w:hAnsi="Times New Roman" w:cs="Times New Roman"/>
          <w:sz w:val="24"/>
          <w:szCs w:val="24"/>
        </w:rPr>
        <w:t>ge assistance programs, and set</w:t>
      </w:r>
      <w:r w:rsidR="00125A6B" w:rsidRPr="00DF4787">
        <w:rPr>
          <w:rFonts w:ascii="Times New Roman" w:hAnsi="Times New Roman" w:cs="Times New Roman"/>
          <w:sz w:val="24"/>
          <w:szCs w:val="24"/>
        </w:rPr>
        <w:t xml:space="preserve"> forth requirements for the initial collection and use of administrative and audit metrics for the Uniform Guidance.</w:t>
      </w:r>
    </w:p>
    <w:p w14:paraId="7F0EC875" w14:textId="645403AA" w:rsidR="006A07AB" w:rsidRPr="00DF4787" w:rsidRDefault="001F3DD3"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These</w:t>
      </w:r>
      <w:r w:rsidR="00A312ED" w:rsidRPr="00DF4787">
        <w:rPr>
          <w:rFonts w:ascii="Times New Roman" w:hAnsi="Times New Roman" w:cs="Times New Roman"/>
          <w:sz w:val="24"/>
          <w:szCs w:val="24"/>
        </w:rPr>
        <w:t xml:space="preserve"> </w:t>
      </w:r>
      <w:r w:rsidR="009B7463">
        <w:rPr>
          <w:rFonts w:ascii="Times New Roman" w:hAnsi="Times New Roman" w:cs="Times New Roman"/>
          <w:sz w:val="24"/>
          <w:szCs w:val="24"/>
        </w:rPr>
        <w:t>findings for the Administrative M</w:t>
      </w:r>
      <w:r w:rsidR="0003267A" w:rsidRPr="00DF4787">
        <w:rPr>
          <w:rFonts w:ascii="Times New Roman" w:hAnsi="Times New Roman" w:cs="Times New Roman"/>
          <w:sz w:val="24"/>
          <w:szCs w:val="24"/>
        </w:rPr>
        <w:t>etrics</w:t>
      </w:r>
      <w:r w:rsidR="00781189" w:rsidRPr="00DF4787">
        <w:rPr>
          <w:rFonts w:ascii="Times New Roman" w:hAnsi="Times New Roman" w:cs="Times New Roman"/>
          <w:sz w:val="24"/>
          <w:szCs w:val="24"/>
        </w:rPr>
        <w:t xml:space="preserve"> are aggregated from twenty-one CFO Act agencies</w:t>
      </w:r>
      <w:r w:rsidR="006A07AB" w:rsidRPr="00DF4787">
        <w:rPr>
          <w:rFonts w:ascii="Times New Roman" w:hAnsi="Times New Roman" w:cs="Times New Roman"/>
          <w:sz w:val="24"/>
          <w:szCs w:val="24"/>
        </w:rPr>
        <w:t xml:space="preserve"> and will help </w:t>
      </w:r>
      <w:r w:rsidR="007D0C84" w:rsidRPr="00DF4787">
        <w:rPr>
          <w:rFonts w:ascii="Times New Roman" w:hAnsi="Times New Roman" w:cs="Times New Roman"/>
          <w:sz w:val="24"/>
          <w:szCs w:val="24"/>
        </w:rPr>
        <w:t xml:space="preserve">establish </w:t>
      </w:r>
      <w:r w:rsidR="006A07AB" w:rsidRPr="00DF4787">
        <w:rPr>
          <w:rFonts w:ascii="Times New Roman" w:hAnsi="Times New Roman" w:cs="Times New Roman"/>
          <w:sz w:val="24"/>
          <w:szCs w:val="24"/>
        </w:rPr>
        <w:t>a baseline</w:t>
      </w:r>
      <w:r w:rsidR="00781189" w:rsidRPr="00DF4787">
        <w:rPr>
          <w:rFonts w:ascii="Times New Roman" w:hAnsi="Times New Roman" w:cs="Times New Roman"/>
          <w:sz w:val="24"/>
          <w:szCs w:val="24"/>
        </w:rPr>
        <w:t xml:space="preserve">. </w:t>
      </w:r>
      <w:r w:rsidR="0003267A" w:rsidRPr="00DF4787">
        <w:rPr>
          <w:rFonts w:ascii="Times New Roman" w:hAnsi="Times New Roman" w:cs="Times New Roman"/>
          <w:sz w:val="24"/>
          <w:szCs w:val="24"/>
        </w:rPr>
        <w:t>At this initial stage, metric colle</w:t>
      </w:r>
      <w:r w:rsidR="00F72132" w:rsidRPr="00DF4787">
        <w:rPr>
          <w:rFonts w:ascii="Times New Roman" w:hAnsi="Times New Roman" w:cs="Times New Roman"/>
          <w:sz w:val="24"/>
          <w:szCs w:val="24"/>
        </w:rPr>
        <w:t>ction is to inform the COF</w:t>
      </w:r>
      <w:r w:rsidR="0003267A" w:rsidRPr="00DF4787">
        <w:rPr>
          <w:rFonts w:ascii="Times New Roman" w:hAnsi="Times New Roman" w:cs="Times New Roman"/>
          <w:sz w:val="24"/>
          <w:szCs w:val="24"/>
        </w:rPr>
        <w:t xml:space="preserve">AR about the </w:t>
      </w:r>
      <w:r w:rsidR="00687B31" w:rsidRPr="00DF4787">
        <w:rPr>
          <w:rFonts w:ascii="Times New Roman" w:hAnsi="Times New Roman" w:cs="Times New Roman"/>
          <w:sz w:val="24"/>
          <w:szCs w:val="24"/>
        </w:rPr>
        <w:t>state prior to</w:t>
      </w:r>
      <w:r w:rsidR="0003267A" w:rsidRPr="00DF4787">
        <w:rPr>
          <w:rFonts w:ascii="Times New Roman" w:hAnsi="Times New Roman" w:cs="Times New Roman"/>
          <w:sz w:val="24"/>
          <w:szCs w:val="24"/>
        </w:rPr>
        <w:t xml:space="preserve"> implementation</w:t>
      </w:r>
      <w:r w:rsidR="00687B31" w:rsidRPr="00DF4787">
        <w:rPr>
          <w:rFonts w:ascii="Times New Roman" w:hAnsi="Times New Roman" w:cs="Times New Roman"/>
          <w:sz w:val="24"/>
          <w:szCs w:val="24"/>
        </w:rPr>
        <w:t xml:space="preserve"> of the Uniform Guidance</w:t>
      </w:r>
      <w:r w:rsidR="0003267A" w:rsidRPr="00DF4787">
        <w:rPr>
          <w:rFonts w:ascii="Times New Roman" w:hAnsi="Times New Roman" w:cs="Times New Roman"/>
          <w:sz w:val="24"/>
          <w:szCs w:val="24"/>
        </w:rPr>
        <w:t xml:space="preserve">. </w:t>
      </w:r>
      <w:r w:rsidR="007D0C84" w:rsidRPr="00DF4787">
        <w:rPr>
          <w:rFonts w:ascii="Times New Roman" w:hAnsi="Times New Roman" w:cs="Times New Roman"/>
          <w:sz w:val="24"/>
          <w:szCs w:val="24"/>
        </w:rPr>
        <w:t xml:space="preserve">As outlined in </w:t>
      </w:r>
      <w:hyperlink r:id="rId8" w:history="1">
        <w:r w:rsidR="007D0C84" w:rsidRPr="00DF4787">
          <w:rPr>
            <w:rStyle w:val="Hyperlink"/>
            <w:rFonts w:ascii="Times New Roman" w:hAnsi="Times New Roman" w:cs="Times New Roman"/>
            <w:sz w:val="24"/>
            <w:szCs w:val="24"/>
          </w:rPr>
          <w:t>Memorandum M-14-17</w:t>
        </w:r>
      </w:hyperlink>
      <w:r w:rsidR="007D0C84" w:rsidRPr="00DF4787">
        <w:rPr>
          <w:rStyle w:val="Hyperlink"/>
          <w:rFonts w:ascii="Times New Roman" w:hAnsi="Times New Roman" w:cs="Times New Roman"/>
          <w:sz w:val="24"/>
          <w:szCs w:val="24"/>
        </w:rPr>
        <w:t>, by January 15, 2017, OMB and the COFAR will evaluate the utility of these metrics</w:t>
      </w:r>
      <w:r w:rsidR="001950A2" w:rsidRPr="00DF4787">
        <w:rPr>
          <w:rStyle w:val="Hyperlink"/>
          <w:rFonts w:ascii="Times New Roman" w:hAnsi="Times New Roman" w:cs="Times New Roman"/>
          <w:sz w:val="24"/>
          <w:szCs w:val="24"/>
        </w:rPr>
        <w:t xml:space="preserve"> and </w:t>
      </w:r>
      <w:r w:rsidR="0003267A" w:rsidRPr="00DF4787">
        <w:rPr>
          <w:rFonts w:ascii="Times New Roman" w:hAnsi="Times New Roman" w:cs="Times New Roman"/>
          <w:sz w:val="24"/>
          <w:szCs w:val="24"/>
        </w:rPr>
        <w:t>will consider whether it is appropriate to establish goals or target outcomes for any given metric.</w:t>
      </w:r>
      <w:r w:rsidR="007543AC" w:rsidRPr="00DF4787">
        <w:rPr>
          <w:rFonts w:ascii="Times New Roman" w:hAnsi="Times New Roman" w:cs="Times New Roman"/>
          <w:sz w:val="24"/>
          <w:szCs w:val="24"/>
        </w:rPr>
        <w:t xml:space="preserve">  </w:t>
      </w:r>
      <w:r w:rsidR="00687B31" w:rsidRPr="00DF4787">
        <w:rPr>
          <w:rFonts w:ascii="Times New Roman" w:hAnsi="Times New Roman" w:cs="Times New Roman"/>
          <w:sz w:val="24"/>
          <w:szCs w:val="24"/>
        </w:rPr>
        <w:t xml:space="preserve"> </w:t>
      </w:r>
    </w:p>
    <w:p w14:paraId="6A31589E" w14:textId="4C406F44" w:rsidR="0003267A" w:rsidRPr="009D5C47" w:rsidRDefault="009B7463" w:rsidP="00ED44D0">
      <w:pPr>
        <w:spacing w:line="276" w:lineRule="auto"/>
        <w:rPr>
          <w:rFonts w:ascii="Times New Roman" w:hAnsi="Times New Roman" w:cs="Times New Roman"/>
          <w:b/>
          <w:sz w:val="24"/>
          <w:szCs w:val="24"/>
        </w:rPr>
      </w:pPr>
      <w:r w:rsidRPr="009D5C47">
        <w:rPr>
          <w:rFonts w:ascii="Times New Roman" w:hAnsi="Times New Roman" w:cs="Times New Roman"/>
          <w:b/>
          <w:sz w:val="24"/>
          <w:szCs w:val="24"/>
        </w:rPr>
        <w:t xml:space="preserve">2014 </w:t>
      </w:r>
      <w:r w:rsidR="009F5D4D" w:rsidRPr="009D5C47">
        <w:rPr>
          <w:rFonts w:ascii="Times New Roman" w:hAnsi="Times New Roman" w:cs="Times New Roman"/>
          <w:b/>
          <w:sz w:val="24"/>
          <w:szCs w:val="24"/>
        </w:rPr>
        <w:t>Administrative Metrics</w:t>
      </w:r>
      <w:r w:rsidR="0003267A" w:rsidRPr="009D5C47">
        <w:rPr>
          <w:rFonts w:ascii="Times New Roman" w:hAnsi="Times New Roman" w:cs="Times New Roman"/>
          <w:b/>
          <w:sz w:val="24"/>
          <w:szCs w:val="24"/>
        </w:rPr>
        <w:t xml:space="preserve"> </w:t>
      </w:r>
      <w:r w:rsidRPr="009D5C47">
        <w:rPr>
          <w:rFonts w:ascii="Times New Roman" w:hAnsi="Times New Roman" w:cs="Times New Roman"/>
          <w:b/>
          <w:sz w:val="24"/>
          <w:szCs w:val="24"/>
        </w:rPr>
        <w:t>results</w:t>
      </w:r>
      <w:r w:rsidR="0003267A" w:rsidRPr="009D5C4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45"/>
        <w:gridCol w:w="8370"/>
        <w:gridCol w:w="931"/>
      </w:tblGrid>
      <w:tr w:rsidR="00781189" w14:paraId="343ACF26" w14:textId="77777777" w:rsidTr="00017426">
        <w:tc>
          <w:tcPr>
            <w:tcW w:w="445" w:type="dxa"/>
          </w:tcPr>
          <w:p w14:paraId="0E79FB92" w14:textId="13C9FCEC" w:rsidR="00781189" w:rsidRPr="00DF4787" w:rsidRDefault="00781189" w:rsidP="00ED44D0">
            <w:pPr>
              <w:spacing w:line="276" w:lineRule="auto"/>
              <w:rPr>
                <w:rFonts w:ascii="Times New Roman" w:hAnsi="Times New Roman"/>
              </w:rPr>
            </w:pPr>
            <w:r w:rsidRPr="00DF4787">
              <w:rPr>
                <w:rFonts w:ascii="Times New Roman" w:hAnsi="Times New Roman"/>
              </w:rPr>
              <w:t xml:space="preserve">1. </w:t>
            </w:r>
          </w:p>
        </w:tc>
        <w:tc>
          <w:tcPr>
            <w:tcW w:w="8370" w:type="dxa"/>
          </w:tcPr>
          <w:p w14:paraId="78B4DB1D" w14:textId="621E30D9"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OMB-approved Information Collections for Grants and Cooperative Agreements</w:t>
            </w:r>
          </w:p>
        </w:tc>
        <w:tc>
          <w:tcPr>
            <w:tcW w:w="720" w:type="dxa"/>
          </w:tcPr>
          <w:p w14:paraId="4D46E7E3" w14:textId="1AF682EE" w:rsidR="00781189" w:rsidRPr="00DF4787" w:rsidRDefault="007844B5" w:rsidP="00BE6C77">
            <w:pPr>
              <w:spacing w:line="276" w:lineRule="auto"/>
              <w:jc w:val="right"/>
              <w:rPr>
                <w:rFonts w:ascii="Times New Roman" w:hAnsi="Times New Roman"/>
              </w:rPr>
            </w:pPr>
            <w:r w:rsidRPr="00DF4787">
              <w:rPr>
                <w:rFonts w:ascii="Times New Roman" w:hAnsi="Times New Roman"/>
              </w:rPr>
              <w:t>856</w:t>
            </w:r>
          </w:p>
        </w:tc>
      </w:tr>
      <w:tr w:rsidR="00781189" w14:paraId="1112A82A" w14:textId="77777777" w:rsidTr="00017426">
        <w:tc>
          <w:tcPr>
            <w:tcW w:w="445" w:type="dxa"/>
          </w:tcPr>
          <w:p w14:paraId="4F29BCEB" w14:textId="585F345C" w:rsidR="00781189" w:rsidRPr="00DF4787" w:rsidRDefault="00781189" w:rsidP="00ED44D0">
            <w:pPr>
              <w:spacing w:line="276" w:lineRule="auto"/>
              <w:rPr>
                <w:rFonts w:ascii="Times New Roman" w:hAnsi="Times New Roman"/>
              </w:rPr>
            </w:pPr>
            <w:r w:rsidRPr="00DF4787">
              <w:rPr>
                <w:rFonts w:ascii="Times New Roman" w:hAnsi="Times New Roman"/>
              </w:rPr>
              <w:t>2</w:t>
            </w:r>
            <w:r w:rsidR="00017426" w:rsidRPr="00DF4787">
              <w:rPr>
                <w:rFonts w:ascii="Times New Roman" w:hAnsi="Times New Roman"/>
              </w:rPr>
              <w:t>.</w:t>
            </w:r>
          </w:p>
        </w:tc>
        <w:tc>
          <w:tcPr>
            <w:tcW w:w="8370" w:type="dxa"/>
          </w:tcPr>
          <w:p w14:paraId="0F417497" w14:textId="640B8C88"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OMB-approved Exceptions Focused on Program Perform</w:t>
            </w:r>
            <w:r w:rsidR="00017426" w:rsidRPr="00DF4787">
              <w:rPr>
                <w:rFonts w:ascii="Times New Roman" w:hAnsi="Times New Roman"/>
              </w:rPr>
              <w:t xml:space="preserve">ance Over </w:t>
            </w:r>
            <w:r w:rsidR="00781189" w:rsidRPr="00DF4787">
              <w:rPr>
                <w:rFonts w:ascii="Times New Roman" w:hAnsi="Times New Roman"/>
              </w:rPr>
              <w:t>Compliance</w:t>
            </w:r>
          </w:p>
        </w:tc>
        <w:tc>
          <w:tcPr>
            <w:tcW w:w="720" w:type="dxa"/>
          </w:tcPr>
          <w:p w14:paraId="5D2289F0" w14:textId="43F2C777" w:rsidR="00781189" w:rsidRPr="00DF4787" w:rsidRDefault="00017426" w:rsidP="00BE6C77">
            <w:pPr>
              <w:spacing w:line="276" w:lineRule="auto"/>
              <w:jc w:val="right"/>
              <w:rPr>
                <w:rFonts w:ascii="Times New Roman" w:hAnsi="Times New Roman"/>
              </w:rPr>
            </w:pPr>
            <w:r w:rsidRPr="00DF4787">
              <w:rPr>
                <w:rFonts w:ascii="Times New Roman" w:hAnsi="Times New Roman"/>
              </w:rPr>
              <w:t>*</w:t>
            </w:r>
          </w:p>
        </w:tc>
      </w:tr>
      <w:tr w:rsidR="00F071FE" w14:paraId="6357472A" w14:textId="77777777" w:rsidTr="00017426">
        <w:tc>
          <w:tcPr>
            <w:tcW w:w="445" w:type="dxa"/>
          </w:tcPr>
          <w:p w14:paraId="4627DB66" w14:textId="2651F5B5" w:rsidR="00F071FE" w:rsidRPr="00DF4787" w:rsidRDefault="00F071FE" w:rsidP="00ED44D0">
            <w:pPr>
              <w:spacing w:line="276" w:lineRule="auto"/>
              <w:rPr>
                <w:rFonts w:ascii="Times New Roman" w:hAnsi="Times New Roman"/>
              </w:rPr>
            </w:pPr>
            <w:r w:rsidRPr="00DF4787">
              <w:rPr>
                <w:rFonts w:ascii="Times New Roman" w:hAnsi="Times New Roman"/>
              </w:rPr>
              <w:t>3.</w:t>
            </w:r>
          </w:p>
        </w:tc>
        <w:tc>
          <w:tcPr>
            <w:tcW w:w="8370" w:type="dxa"/>
          </w:tcPr>
          <w:p w14:paraId="0218B86B" w14:textId="234900F5" w:rsidR="00F071FE" w:rsidRPr="00DF4787" w:rsidRDefault="00F071FE" w:rsidP="00ED44D0">
            <w:pPr>
              <w:spacing w:line="276" w:lineRule="auto"/>
              <w:rPr>
                <w:rFonts w:ascii="Times New Roman" w:hAnsi="Times New Roman"/>
              </w:rPr>
            </w:pPr>
            <w:r w:rsidRPr="00DF4787">
              <w:rPr>
                <w:rFonts w:ascii="Times New Roman" w:hAnsi="Times New Roman"/>
              </w:rPr>
              <w:t>Total number of new awards (grants, cooperative agreements) issued during 2014</w:t>
            </w:r>
          </w:p>
        </w:tc>
        <w:tc>
          <w:tcPr>
            <w:tcW w:w="720" w:type="dxa"/>
          </w:tcPr>
          <w:p w14:paraId="0967849E" w14:textId="329AA288" w:rsidR="00F071FE" w:rsidRPr="00DF4787" w:rsidRDefault="00F45FC2" w:rsidP="00BE6C77">
            <w:pPr>
              <w:spacing w:line="276" w:lineRule="auto"/>
              <w:jc w:val="right"/>
              <w:rPr>
                <w:rFonts w:ascii="Times New Roman" w:hAnsi="Times New Roman"/>
              </w:rPr>
            </w:pPr>
            <w:r w:rsidRPr="00DF4787">
              <w:rPr>
                <w:rFonts w:ascii="Times New Roman" w:hAnsi="Times New Roman"/>
              </w:rPr>
              <w:t>131,013</w:t>
            </w:r>
          </w:p>
        </w:tc>
      </w:tr>
      <w:tr w:rsidR="00781189" w14:paraId="2139837F" w14:textId="77777777" w:rsidTr="00017426">
        <w:tc>
          <w:tcPr>
            <w:tcW w:w="445" w:type="dxa"/>
          </w:tcPr>
          <w:p w14:paraId="6B2C1A1E" w14:textId="3F04B1C7" w:rsidR="00781189" w:rsidRPr="00DF4787" w:rsidRDefault="00F071FE" w:rsidP="00ED44D0">
            <w:pPr>
              <w:spacing w:line="276" w:lineRule="auto"/>
              <w:rPr>
                <w:rFonts w:ascii="Times New Roman" w:hAnsi="Times New Roman"/>
              </w:rPr>
            </w:pPr>
            <w:r w:rsidRPr="00DF4787">
              <w:rPr>
                <w:rFonts w:ascii="Times New Roman" w:hAnsi="Times New Roman"/>
              </w:rPr>
              <w:t>4</w:t>
            </w:r>
            <w:r w:rsidR="00017426" w:rsidRPr="00DF4787">
              <w:rPr>
                <w:rFonts w:ascii="Times New Roman" w:hAnsi="Times New Roman"/>
              </w:rPr>
              <w:t>.</w:t>
            </w:r>
          </w:p>
        </w:tc>
        <w:tc>
          <w:tcPr>
            <w:tcW w:w="8370" w:type="dxa"/>
          </w:tcPr>
          <w:p w14:paraId="15F2DE5F" w14:textId="58F30B66"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Fixed Amount Awards Issued</w:t>
            </w:r>
            <w:r w:rsidR="00D856E6" w:rsidRPr="00DF4787">
              <w:rPr>
                <w:rFonts w:ascii="Times New Roman" w:hAnsi="Times New Roman"/>
              </w:rPr>
              <w:t xml:space="preserve"> **</w:t>
            </w:r>
          </w:p>
        </w:tc>
        <w:tc>
          <w:tcPr>
            <w:tcW w:w="720" w:type="dxa"/>
          </w:tcPr>
          <w:p w14:paraId="2149A487" w14:textId="60AF22FF" w:rsidR="00781189" w:rsidRPr="00DF4787" w:rsidRDefault="00F45FC2" w:rsidP="00BE6C77">
            <w:pPr>
              <w:spacing w:line="276" w:lineRule="auto"/>
              <w:jc w:val="right"/>
              <w:rPr>
                <w:rFonts w:ascii="Times New Roman" w:hAnsi="Times New Roman"/>
              </w:rPr>
            </w:pPr>
            <w:r w:rsidRPr="00DF4787">
              <w:rPr>
                <w:rFonts w:ascii="Times New Roman" w:hAnsi="Times New Roman"/>
              </w:rPr>
              <w:t>5</w:t>
            </w:r>
            <w:r w:rsidR="00BE6C77" w:rsidRPr="00DF4787">
              <w:rPr>
                <w:rFonts w:ascii="Times New Roman" w:hAnsi="Times New Roman"/>
              </w:rPr>
              <w:t>,</w:t>
            </w:r>
            <w:r w:rsidRPr="00DF4787">
              <w:rPr>
                <w:rFonts w:ascii="Times New Roman" w:hAnsi="Times New Roman"/>
              </w:rPr>
              <w:t>236</w:t>
            </w:r>
          </w:p>
        </w:tc>
      </w:tr>
      <w:tr w:rsidR="00781189" w14:paraId="35870585" w14:textId="77777777" w:rsidTr="00017426">
        <w:tc>
          <w:tcPr>
            <w:tcW w:w="445" w:type="dxa"/>
          </w:tcPr>
          <w:p w14:paraId="45165027" w14:textId="4FB87C0C" w:rsidR="00781189" w:rsidRPr="00DF4787" w:rsidRDefault="00F071FE" w:rsidP="00ED44D0">
            <w:pPr>
              <w:spacing w:line="276" w:lineRule="auto"/>
              <w:rPr>
                <w:rFonts w:ascii="Times New Roman" w:hAnsi="Times New Roman"/>
              </w:rPr>
            </w:pPr>
            <w:r w:rsidRPr="00DF4787">
              <w:rPr>
                <w:rFonts w:ascii="Times New Roman" w:hAnsi="Times New Roman"/>
              </w:rPr>
              <w:t>5</w:t>
            </w:r>
            <w:r w:rsidR="00017426" w:rsidRPr="00DF4787">
              <w:rPr>
                <w:rFonts w:ascii="Times New Roman" w:hAnsi="Times New Roman"/>
              </w:rPr>
              <w:t>.</w:t>
            </w:r>
          </w:p>
        </w:tc>
        <w:tc>
          <w:tcPr>
            <w:tcW w:w="8370" w:type="dxa"/>
          </w:tcPr>
          <w:p w14:paraId="040DBBCB" w14:textId="4D260DE1"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Agency Exceptions to the Provision of Federally Negotiated Rates</w:t>
            </w:r>
          </w:p>
        </w:tc>
        <w:tc>
          <w:tcPr>
            <w:tcW w:w="720" w:type="dxa"/>
          </w:tcPr>
          <w:p w14:paraId="1DEA0323" w14:textId="27164D43" w:rsidR="00781189" w:rsidRPr="00DF4787" w:rsidRDefault="00F45FC2" w:rsidP="00BE6C77">
            <w:pPr>
              <w:spacing w:line="276" w:lineRule="auto"/>
              <w:jc w:val="right"/>
              <w:rPr>
                <w:rFonts w:ascii="Times New Roman" w:hAnsi="Times New Roman"/>
              </w:rPr>
            </w:pPr>
            <w:r w:rsidRPr="00DF4787">
              <w:rPr>
                <w:rFonts w:ascii="Times New Roman" w:hAnsi="Times New Roman"/>
              </w:rPr>
              <w:t>139</w:t>
            </w:r>
          </w:p>
        </w:tc>
      </w:tr>
      <w:tr w:rsidR="00F071FE" w14:paraId="5F74C164" w14:textId="77777777" w:rsidTr="00017426">
        <w:tc>
          <w:tcPr>
            <w:tcW w:w="445" w:type="dxa"/>
          </w:tcPr>
          <w:p w14:paraId="1AF98608" w14:textId="737BC60D" w:rsidR="00F071FE" w:rsidRPr="00DF4787" w:rsidRDefault="00F071FE" w:rsidP="00ED44D0">
            <w:pPr>
              <w:spacing w:line="276" w:lineRule="auto"/>
              <w:rPr>
                <w:rFonts w:ascii="Times New Roman" w:hAnsi="Times New Roman"/>
              </w:rPr>
            </w:pPr>
            <w:r w:rsidRPr="00DF4787">
              <w:rPr>
                <w:rFonts w:ascii="Times New Roman" w:hAnsi="Times New Roman"/>
              </w:rPr>
              <w:t>6.</w:t>
            </w:r>
          </w:p>
        </w:tc>
        <w:tc>
          <w:tcPr>
            <w:tcW w:w="8370" w:type="dxa"/>
          </w:tcPr>
          <w:p w14:paraId="7197B2E0" w14:textId="058BFA00" w:rsidR="00F071FE" w:rsidRPr="00DF4787" w:rsidRDefault="00F071FE" w:rsidP="00ED44D0">
            <w:pPr>
              <w:spacing w:line="276" w:lineRule="auto"/>
              <w:rPr>
                <w:rFonts w:ascii="Times New Roman" w:hAnsi="Times New Roman"/>
              </w:rPr>
            </w:pPr>
            <w:r w:rsidRPr="00DF4787">
              <w:rPr>
                <w:rFonts w:ascii="Times New Roman" w:hAnsi="Times New Roman"/>
              </w:rPr>
              <w:t>Total number of Indirect Cost Rate Agreements issued by cognizant agencies during 2014</w:t>
            </w:r>
          </w:p>
        </w:tc>
        <w:tc>
          <w:tcPr>
            <w:tcW w:w="720" w:type="dxa"/>
          </w:tcPr>
          <w:p w14:paraId="63B630A3" w14:textId="39DE7D5C" w:rsidR="00F071FE" w:rsidRPr="00DF4787" w:rsidRDefault="00F45FC2" w:rsidP="00BE6C77">
            <w:pPr>
              <w:spacing w:line="276" w:lineRule="auto"/>
              <w:jc w:val="right"/>
              <w:rPr>
                <w:rFonts w:ascii="Times New Roman" w:hAnsi="Times New Roman"/>
              </w:rPr>
            </w:pPr>
            <w:r w:rsidRPr="00DF4787">
              <w:rPr>
                <w:rFonts w:ascii="Times New Roman" w:hAnsi="Times New Roman"/>
              </w:rPr>
              <w:t>5</w:t>
            </w:r>
            <w:r w:rsidR="00BE6C77" w:rsidRPr="00DF4787">
              <w:rPr>
                <w:rFonts w:ascii="Times New Roman" w:hAnsi="Times New Roman"/>
              </w:rPr>
              <w:t>,</w:t>
            </w:r>
            <w:r w:rsidRPr="00DF4787">
              <w:rPr>
                <w:rFonts w:ascii="Times New Roman" w:hAnsi="Times New Roman"/>
              </w:rPr>
              <w:t>146</w:t>
            </w:r>
          </w:p>
        </w:tc>
      </w:tr>
      <w:tr w:rsidR="00781189" w14:paraId="073B3676" w14:textId="77777777" w:rsidTr="00017426">
        <w:tc>
          <w:tcPr>
            <w:tcW w:w="445" w:type="dxa"/>
          </w:tcPr>
          <w:p w14:paraId="68D3E528" w14:textId="6E73BB04" w:rsidR="00781189" w:rsidRPr="00DF4787" w:rsidRDefault="00F071FE" w:rsidP="00ED44D0">
            <w:pPr>
              <w:spacing w:line="276" w:lineRule="auto"/>
              <w:rPr>
                <w:rFonts w:ascii="Times New Roman" w:hAnsi="Times New Roman"/>
              </w:rPr>
            </w:pPr>
            <w:r w:rsidRPr="00DF4787">
              <w:rPr>
                <w:rFonts w:ascii="Times New Roman" w:hAnsi="Times New Roman"/>
              </w:rPr>
              <w:t>7</w:t>
            </w:r>
            <w:r w:rsidR="00017426" w:rsidRPr="00DF4787">
              <w:rPr>
                <w:rFonts w:ascii="Times New Roman" w:hAnsi="Times New Roman"/>
              </w:rPr>
              <w:t>.</w:t>
            </w:r>
          </w:p>
        </w:tc>
        <w:tc>
          <w:tcPr>
            <w:tcW w:w="8370" w:type="dxa"/>
          </w:tcPr>
          <w:p w14:paraId="240B1BE1" w14:textId="47EF566A"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Indirect Cost Rate Extensions Approved by Cognizant Agencies</w:t>
            </w:r>
          </w:p>
        </w:tc>
        <w:tc>
          <w:tcPr>
            <w:tcW w:w="720" w:type="dxa"/>
          </w:tcPr>
          <w:p w14:paraId="5939533D" w14:textId="0F70F675" w:rsidR="00781189" w:rsidRPr="00DF4787" w:rsidRDefault="00905D67" w:rsidP="00BE6C77">
            <w:pPr>
              <w:spacing w:line="276" w:lineRule="auto"/>
              <w:jc w:val="right"/>
              <w:rPr>
                <w:rFonts w:ascii="Times New Roman" w:hAnsi="Times New Roman"/>
              </w:rPr>
            </w:pPr>
            <w:r w:rsidRPr="00DF4787">
              <w:rPr>
                <w:rFonts w:ascii="Times New Roman" w:hAnsi="Times New Roman"/>
              </w:rPr>
              <w:t>83</w:t>
            </w:r>
          </w:p>
        </w:tc>
      </w:tr>
    </w:tbl>
    <w:p w14:paraId="51C260E7" w14:textId="77777777" w:rsidR="00DF4787" w:rsidRPr="00DF4787" w:rsidRDefault="00017426" w:rsidP="00DF4787">
      <w:pPr>
        <w:spacing w:after="0" w:line="240" w:lineRule="auto"/>
        <w:rPr>
          <w:rFonts w:ascii="Times New Roman" w:hAnsi="Times New Roman"/>
          <w:sz w:val="20"/>
          <w:szCs w:val="20"/>
        </w:rPr>
      </w:pPr>
      <w:r>
        <w:rPr>
          <w:rFonts w:ascii="Times New Roman" w:hAnsi="Times New Roman"/>
        </w:rPr>
        <w:tab/>
      </w:r>
      <w:r w:rsidRPr="00DF4787">
        <w:rPr>
          <w:rFonts w:ascii="Times New Roman" w:hAnsi="Times New Roman"/>
          <w:sz w:val="20"/>
          <w:szCs w:val="20"/>
        </w:rPr>
        <w:t>* Data not requested for this baseline metric.</w:t>
      </w:r>
    </w:p>
    <w:p w14:paraId="7F093359" w14:textId="7753C850" w:rsidR="00D856E6" w:rsidRPr="00DF4787" w:rsidRDefault="00D856E6" w:rsidP="00DF4787">
      <w:pPr>
        <w:spacing w:after="0" w:line="240" w:lineRule="auto"/>
        <w:ind w:left="720"/>
        <w:rPr>
          <w:rFonts w:ascii="Times New Roman" w:hAnsi="Times New Roman"/>
          <w:sz w:val="20"/>
          <w:szCs w:val="20"/>
        </w:rPr>
      </w:pPr>
      <w:r w:rsidRPr="00DF4787">
        <w:rPr>
          <w:rFonts w:ascii="Times New Roman" w:hAnsi="Times New Roman"/>
          <w:sz w:val="20"/>
          <w:szCs w:val="20"/>
        </w:rPr>
        <w:t>** Baseline data is based on Federal awarding agencies best approximation of what they considered fixed amount awards for 2014. Prior to the implementation of the</w:t>
      </w:r>
      <w:r w:rsidR="00DF4787" w:rsidRPr="00DF4787">
        <w:rPr>
          <w:rFonts w:ascii="Times New Roman" w:hAnsi="Times New Roman"/>
          <w:sz w:val="20"/>
          <w:szCs w:val="20"/>
        </w:rPr>
        <w:t xml:space="preserve"> Uniform Guidance, there was no</w:t>
      </w:r>
      <w:r w:rsidRPr="00DF4787">
        <w:rPr>
          <w:rFonts w:ascii="Times New Roman" w:hAnsi="Times New Roman"/>
          <w:sz w:val="20"/>
          <w:szCs w:val="20"/>
        </w:rPr>
        <w:t xml:space="preserve"> unified definition on what was considered a fixed amount award.</w:t>
      </w:r>
    </w:p>
    <w:p w14:paraId="5B4602D8" w14:textId="77777777" w:rsidR="00DF4787" w:rsidRDefault="00DF4787" w:rsidP="00ED44D0">
      <w:pPr>
        <w:spacing w:line="276" w:lineRule="auto"/>
        <w:rPr>
          <w:rFonts w:ascii="Times New Roman" w:hAnsi="Times New Roman" w:cs="Times New Roman"/>
        </w:rPr>
      </w:pPr>
    </w:p>
    <w:p w14:paraId="633D7ED3" w14:textId="7C1616DE" w:rsidR="008B7DE9" w:rsidRPr="00DF4787" w:rsidRDefault="001666DE"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These </w:t>
      </w:r>
      <w:r w:rsidR="00452048" w:rsidRPr="00DF4787">
        <w:rPr>
          <w:rFonts w:ascii="Times New Roman" w:hAnsi="Times New Roman" w:cs="Times New Roman"/>
          <w:sz w:val="24"/>
          <w:szCs w:val="24"/>
        </w:rPr>
        <w:t>Administrative Metrics will be collected annually from OMB records of exceptions</w:t>
      </w:r>
      <w:r w:rsidR="00757D74" w:rsidRPr="00DF4787">
        <w:rPr>
          <w:rFonts w:ascii="Times New Roman" w:hAnsi="Times New Roman" w:cs="Times New Roman"/>
          <w:sz w:val="24"/>
          <w:szCs w:val="24"/>
        </w:rPr>
        <w:t xml:space="preserve"> and </w:t>
      </w:r>
      <w:r w:rsidR="00452048" w:rsidRPr="00DF4787">
        <w:rPr>
          <w:rFonts w:ascii="Times New Roman" w:hAnsi="Times New Roman" w:cs="Times New Roman"/>
          <w:sz w:val="24"/>
          <w:szCs w:val="24"/>
        </w:rPr>
        <w:t xml:space="preserve">Federal </w:t>
      </w:r>
      <w:r w:rsidR="00757D74" w:rsidRPr="00DF4787">
        <w:rPr>
          <w:rFonts w:ascii="Times New Roman" w:hAnsi="Times New Roman" w:cs="Times New Roman"/>
          <w:sz w:val="24"/>
          <w:szCs w:val="24"/>
        </w:rPr>
        <w:t xml:space="preserve">awarding </w:t>
      </w:r>
      <w:r w:rsidR="00452048" w:rsidRPr="00DF4787">
        <w:rPr>
          <w:rFonts w:ascii="Times New Roman" w:hAnsi="Times New Roman" w:cs="Times New Roman"/>
          <w:sz w:val="24"/>
          <w:szCs w:val="24"/>
        </w:rPr>
        <w:t>agency records of</w:t>
      </w:r>
      <w:r w:rsidR="001950A2" w:rsidRPr="00DF4787">
        <w:rPr>
          <w:rFonts w:ascii="Times New Roman" w:hAnsi="Times New Roman" w:cs="Times New Roman"/>
          <w:sz w:val="24"/>
          <w:szCs w:val="24"/>
        </w:rPr>
        <w:t>:</w:t>
      </w:r>
      <w:r w:rsidR="00452048" w:rsidRPr="00DF4787">
        <w:rPr>
          <w:rFonts w:ascii="Times New Roman" w:hAnsi="Times New Roman" w:cs="Times New Roman"/>
          <w:sz w:val="24"/>
          <w:szCs w:val="24"/>
        </w:rPr>
        <w:t xml:space="preserve"> </w:t>
      </w:r>
      <w:r w:rsidR="001950A2" w:rsidRPr="00DF4787">
        <w:rPr>
          <w:rFonts w:ascii="Times New Roman" w:hAnsi="Times New Roman" w:cs="Times New Roman"/>
          <w:sz w:val="24"/>
          <w:szCs w:val="24"/>
        </w:rPr>
        <w:t xml:space="preserve">information collection requests, </w:t>
      </w:r>
      <w:r w:rsidR="00452048" w:rsidRPr="00DF4787">
        <w:rPr>
          <w:rFonts w:ascii="Times New Roman" w:hAnsi="Times New Roman" w:cs="Times New Roman"/>
          <w:sz w:val="24"/>
          <w:szCs w:val="24"/>
        </w:rPr>
        <w:t>fixed-amount awards</w:t>
      </w:r>
      <w:r w:rsidR="001950A2" w:rsidRPr="00DF4787">
        <w:rPr>
          <w:rFonts w:ascii="Times New Roman" w:hAnsi="Times New Roman" w:cs="Times New Roman"/>
          <w:sz w:val="24"/>
          <w:szCs w:val="24"/>
        </w:rPr>
        <w:t>, number of indirect cost extensions</w:t>
      </w:r>
      <w:r w:rsidR="004A4BF2" w:rsidRPr="00DF4787">
        <w:rPr>
          <w:rFonts w:ascii="Times New Roman" w:hAnsi="Times New Roman" w:cs="Times New Roman"/>
          <w:sz w:val="24"/>
          <w:szCs w:val="24"/>
        </w:rPr>
        <w:t>, and agency exceptions to the provision of federally negotiated rates.</w:t>
      </w:r>
      <w:r w:rsidR="005078C8">
        <w:rPr>
          <w:rFonts w:ascii="Times New Roman" w:hAnsi="Times New Roman" w:cs="Times New Roman"/>
          <w:sz w:val="24"/>
          <w:szCs w:val="24"/>
        </w:rPr>
        <w:t xml:space="preserve"> </w:t>
      </w:r>
      <w:r w:rsidR="004A4BF2" w:rsidRPr="00DF4787">
        <w:rPr>
          <w:rFonts w:ascii="Times New Roman" w:hAnsi="Times New Roman" w:cs="Times New Roman"/>
          <w:sz w:val="24"/>
          <w:szCs w:val="24"/>
        </w:rPr>
        <w:t xml:space="preserve">Federal awarding agencies are responsible for the accuracy of the data submitted to OMB and are expected to accurately report the annual metrics as required by </w:t>
      </w:r>
      <w:hyperlink r:id="rId9" w:history="1">
        <w:r w:rsidR="004A4BF2" w:rsidRPr="00DF4787">
          <w:rPr>
            <w:rStyle w:val="Hyperlink"/>
            <w:rFonts w:ascii="Times New Roman" w:hAnsi="Times New Roman" w:cs="Times New Roman"/>
            <w:sz w:val="24"/>
            <w:szCs w:val="24"/>
          </w:rPr>
          <w:t>Memorandum M-14-17</w:t>
        </w:r>
      </w:hyperlink>
      <w:r w:rsidR="005078C8">
        <w:rPr>
          <w:rFonts w:ascii="Times New Roman" w:hAnsi="Times New Roman" w:cs="Times New Roman"/>
          <w:sz w:val="24"/>
          <w:szCs w:val="24"/>
        </w:rPr>
        <w:t>.</w:t>
      </w:r>
    </w:p>
    <w:p w14:paraId="4937592A" w14:textId="55B98A41" w:rsidR="00C142D2" w:rsidRDefault="00C142D2"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Based on the evaluation of these indicators after the implementation of the </w:t>
      </w:r>
      <w:r w:rsidR="004A4BF2" w:rsidRPr="00DF4787">
        <w:rPr>
          <w:rFonts w:ascii="Times New Roman" w:hAnsi="Times New Roman" w:cs="Times New Roman"/>
          <w:sz w:val="24"/>
          <w:szCs w:val="24"/>
        </w:rPr>
        <w:t>U</w:t>
      </w:r>
      <w:r w:rsidRPr="00DF4787">
        <w:rPr>
          <w:rFonts w:ascii="Times New Roman" w:hAnsi="Times New Roman" w:cs="Times New Roman"/>
          <w:sz w:val="24"/>
          <w:szCs w:val="24"/>
        </w:rPr>
        <w:t xml:space="preserve">niform </w:t>
      </w:r>
      <w:r w:rsidR="004A4BF2" w:rsidRPr="00DF4787">
        <w:rPr>
          <w:rFonts w:ascii="Times New Roman" w:hAnsi="Times New Roman" w:cs="Times New Roman"/>
          <w:sz w:val="24"/>
          <w:szCs w:val="24"/>
        </w:rPr>
        <w:t>G</w:t>
      </w:r>
      <w:r w:rsidRPr="00DF4787">
        <w:rPr>
          <w:rFonts w:ascii="Times New Roman" w:hAnsi="Times New Roman" w:cs="Times New Roman"/>
          <w:sz w:val="24"/>
          <w:szCs w:val="24"/>
        </w:rPr>
        <w:t>uidance, OMB and the COFAR will work with Federal agencies to gauge the success of the guidance and the performance of the Federal government’s work in the management of Federal financial assistance.</w:t>
      </w:r>
    </w:p>
    <w:p w14:paraId="345DD96E" w14:textId="77777777" w:rsidR="009E3BA0" w:rsidRDefault="009E3BA0" w:rsidP="00ED44D0">
      <w:pPr>
        <w:spacing w:line="276" w:lineRule="auto"/>
        <w:rPr>
          <w:rFonts w:ascii="Times New Roman" w:hAnsi="Times New Roman" w:cs="Times New Roman"/>
          <w:sz w:val="24"/>
          <w:szCs w:val="24"/>
        </w:rPr>
      </w:pPr>
    </w:p>
    <w:p w14:paraId="0F6B2F73" w14:textId="0C27A62E" w:rsidR="009E3BA0" w:rsidRPr="009D5C47" w:rsidRDefault="009E3BA0" w:rsidP="00ED44D0">
      <w:pPr>
        <w:spacing w:line="276" w:lineRule="auto"/>
        <w:rPr>
          <w:rFonts w:ascii="Times New Roman" w:hAnsi="Times New Roman" w:cs="Times New Roman"/>
          <w:b/>
          <w:sz w:val="24"/>
          <w:szCs w:val="24"/>
        </w:rPr>
      </w:pPr>
      <w:r w:rsidRPr="009D5C47">
        <w:rPr>
          <w:rFonts w:ascii="Times New Roman" w:hAnsi="Times New Roman" w:cs="Times New Roman"/>
          <w:b/>
          <w:sz w:val="24"/>
          <w:szCs w:val="24"/>
        </w:rPr>
        <w:lastRenderedPageBreak/>
        <w:t xml:space="preserve">2014 Single Audit Metrics Results: </w:t>
      </w:r>
    </w:p>
    <w:tbl>
      <w:tblPr>
        <w:tblStyle w:val="TableGrid"/>
        <w:tblW w:w="0" w:type="auto"/>
        <w:tblLook w:val="04A0" w:firstRow="1" w:lastRow="0" w:firstColumn="1" w:lastColumn="0" w:noHBand="0" w:noVBand="1"/>
      </w:tblPr>
      <w:tblGrid>
        <w:gridCol w:w="445"/>
        <w:gridCol w:w="8370"/>
        <w:gridCol w:w="821"/>
      </w:tblGrid>
      <w:tr w:rsidR="009E3BA0" w:rsidRPr="00DF4787" w14:paraId="5F4AA4FF" w14:textId="77777777" w:rsidTr="007F14B4">
        <w:tc>
          <w:tcPr>
            <w:tcW w:w="445" w:type="dxa"/>
          </w:tcPr>
          <w:p w14:paraId="43FF49DE" w14:textId="77777777" w:rsidR="009E3BA0" w:rsidRPr="00DF4787" w:rsidRDefault="009E3BA0" w:rsidP="007F14B4">
            <w:pPr>
              <w:spacing w:line="276" w:lineRule="auto"/>
              <w:rPr>
                <w:rFonts w:ascii="Times New Roman" w:hAnsi="Times New Roman"/>
              </w:rPr>
            </w:pPr>
            <w:r w:rsidRPr="00DF4787">
              <w:rPr>
                <w:rFonts w:ascii="Times New Roman" w:hAnsi="Times New Roman"/>
              </w:rPr>
              <w:t xml:space="preserve">1. </w:t>
            </w:r>
          </w:p>
        </w:tc>
        <w:tc>
          <w:tcPr>
            <w:tcW w:w="8370" w:type="dxa"/>
          </w:tcPr>
          <w:p w14:paraId="33C1B552" w14:textId="2E43B2B2" w:rsidR="009E3BA0" w:rsidRPr="00DF4787" w:rsidRDefault="009E3BA0" w:rsidP="007F14B4">
            <w:pPr>
              <w:spacing w:line="276" w:lineRule="auto"/>
              <w:rPr>
                <w:rFonts w:ascii="Times New Roman" w:hAnsi="Times New Roman"/>
              </w:rPr>
            </w:pPr>
            <w:r w:rsidRPr="008648BA">
              <w:rPr>
                <w:rFonts w:ascii="Times New Roman" w:hAnsi="Times New Roman"/>
                <w:sz w:val="24"/>
                <w:szCs w:val="24"/>
              </w:rPr>
              <w:t>Number of Modified Opinions for Higher Risk Major Programs</w:t>
            </w:r>
          </w:p>
        </w:tc>
        <w:tc>
          <w:tcPr>
            <w:tcW w:w="720" w:type="dxa"/>
          </w:tcPr>
          <w:p w14:paraId="2955E54E" w14:textId="71AA0CCE" w:rsidR="009E3BA0" w:rsidRPr="00DF4787" w:rsidRDefault="00F67884" w:rsidP="007F14B4">
            <w:pPr>
              <w:spacing w:line="276" w:lineRule="auto"/>
              <w:jc w:val="right"/>
              <w:rPr>
                <w:rFonts w:ascii="Times New Roman" w:hAnsi="Times New Roman"/>
              </w:rPr>
            </w:pPr>
            <w:r>
              <w:rPr>
                <w:rFonts w:ascii="Times New Roman" w:hAnsi="Times New Roman"/>
              </w:rPr>
              <w:t>3,886</w:t>
            </w:r>
          </w:p>
        </w:tc>
      </w:tr>
      <w:tr w:rsidR="009E3BA0" w:rsidRPr="00DF4787" w14:paraId="07CD3438" w14:textId="77777777" w:rsidTr="007F14B4">
        <w:tc>
          <w:tcPr>
            <w:tcW w:w="445" w:type="dxa"/>
          </w:tcPr>
          <w:p w14:paraId="4DA8A54D" w14:textId="77777777" w:rsidR="009E3BA0" w:rsidRPr="00DF4787" w:rsidRDefault="009E3BA0" w:rsidP="007F14B4">
            <w:pPr>
              <w:spacing w:line="276" w:lineRule="auto"/>
              <w:rPr>
                <w:rFonts w:ascii="Times New Roman" w:hAnsi="Times New Roman"/>
              </w:rPr>
            </w:pPr>
            <w:r w:rsidRPr="00DF4787">
              <w:rPr>
                <w:rFonts w:ascii="Times New Roman" w:hAnsi="Times New Roman"/>
              </w:rPr>
              <w:t>2.</w:t>
            </w:r>
          </w:p>
        </w:tc>
        <w:tc>
          <w:tcPr>
            <w:tcW w:w="8370" w:type="dxa"/>
          </w:tcPr>
          <w:p w14:paraId="59DA4C91" w14:textId="41419AA6" w:rsidR="009E3BA0" w:rsidRPr="00DF4787" w:rsidRDefault="009E3BA0" w:rsidP="007F14B4">
            <w:pPr>
              <w:spacing w:line="276" w:lineRule="auto"/>
              <w:rPr>
                <w:rFonts w:ascii="Times New Roman" w:hAnsi="Times New Roman"/>
              </w:rPr>
            </w:pPr>
            <w:r w:rsidRPr="008648BA">
              <w:rPr>
                <w:rFonts w:ascii="Times New Roman" w:hAnsi="Times New Roman"/>
                <w:sz w:val="24"/>
                <w:szCs w:val="24"/>
              </w:rPr>
              <w:t>Number of Audit Findings of Material Weaknesses in Internal Controls for Higher Risk Major Programs</w:t>
            </w:r>
          </w:p>
        </w:tc>
        <w:tc>
          <w:tcPr>
            <w:tcW w:w="720" w:type="dxa"/>
          </w:tcPr>
          <w:p w14:paraId="26B84F76" w14:textId="23BA1CEB" w:rsidR="009E3BA0" w:rsidRPr="00DF4787" w:rsidRDefault="00F67884" w:rsidP="007F14B4">
            <w:pPr>
              <w:spacing w:line="276" w:lineRule="auto"/>
              <w:jc w:val="right"/>
              <w:rPr>
                <w:rFonts w:ascii="Times New Roman" w:hAnsi="Times New Roman"/>
              </w:rPr>
            </w:pPr>
            <w:r>
              <w:rPr>
                <w:rFonts w:ascii="Times New Roman" w:hAnsi="Times New Roman"/>
              </w:rPr>
              <w:t>4,838</w:t>
            </w:r>
          </w:p>
        </w:tc>
      </w:tr>
      <w:tr w:rsidR="009E3BA0" w:rsidRPr="00DF4787" w14:paraId="4433BF91" w14:textId="77777777" w:rsidTr="007F14B4">
        <w:tc>
          <w:tcPr>
            <w:tcW w:w="445" w:type="dxa"/>
          </w:tcPr>
          <w:p w14:paraId="6658ED5B" w14:textId="77777777" w:rsidR="009E3BA0" w:rsidRPr="00DF4787" w:rsidRDefault="009E3BA0" w:rsidP="007F14B4">
            <w:pPr>
              <w:spacing w:line="276" w:lineRule="auto"/>
              <w:rPr>
                <w:rFonts w:ascii="Times New Roman" w:hAnsi="Times New Roman"/>
              </w:rPr>
            </w:pPr>
            <w:r w:rsidRPr="00DF4787">
              <w:rPr>
                <w:rFonts w:ascii="Times New Roman" w:hAnsi="Times New Roman"/>
              </w:rPr>
              <w:t>3.</w:t>
            </w:r>
          </w:p>
        </w:tc>
        <w:tc>
          <w:tcPr>
            <w:tcW w:w="8370" w:type="dxa"/>
          </w:tcPr>
          <w:p w14:paraId="7C96B1EB" w14:textId="3C33A0EB" w:rsidR="009E3BA0" w:rsidRPr="00DF4787" w:rsidRDefault="009E3BA0" w:rsidP="009E3BA0">
            <w:pPr>
              <w:spacing w:line="276" w:lineRule="auto"/>
              <w:rPr>
                <w:rFonts w:ascii="Times New Roman" w:hAnsi="Times New Roman"/>
              </w:rPr>
            </w:pPr>
            <w:r w:rsidRPr="008648BA">
              <w:rPr>
                <w:rFonts w:ascii="Times New Roman" w:hAnsi="Times New Roman"/>
                <w:sz w:val="24"/>
                <w:szCs w:val="24"/>
              </w:rPr>
              <w:t xml:space="preserve">Number of Repeat Findings for Higher Risk Major Programs </w:t>
            </w:r>
          </w:p>
        </w:tc>
        <w:tc>
          <w:tcPr>
            <w:tcW w:w="720" w:type="dxa"/>
          </w:tcPr>
          <w:p w14:paraId="3C3479DC" w14:textId="11B8C543" w:rsidR="009E3BA0" w:rsidRPr="00DF4787" w:rsidRDefault="009E3BA0" w:rsidP="007F14B4">
            <w:pPr>
              <w:spacing w:line="276" w:lineRule="auto"/>
              <w:jc w:val="right"/>
              <w:rPr>
                <w:rFonts w:ascii="Times New Roman" w:hAnsi="Times New Roman"/>
              </w:rPr>
            </w:pPr>
            <w:r>
              <w:rPr>
                <w:rFonts w:ascii="Times New Roman" w:hAnsi="Times New Roman"/>
              </w:rPr>
              <w:t>*</w:t>
            </w:r>
          </w:p>
        </w:tc>
      </w:tr>
      <w:tr w:rsidR="009E3BA0" w:rsidRPr="00DF4787" w14:paraId="2921457A" w14:textId="77777777" w:rsidTr="007F14B4">
        <w:tc>
          <w:tcPr>
            <w:tcW w:w="445" w:type="dxa"/>
          </w:tcPr>
          <w:p w14:paraId="104904EE" w14:textId="77777777" w:rsidR="009E3BA0" w:rsidRPr="00DF4787" w:rsidRDefault="009E3BA0" w:rsidP="007F14B4">
            <w:pPr>
              <w:spacing w:line="276" w:lineRule="auto"/>
              <w:rPr>
                <w:rFonts w:ascii="Times New Roman" w:hAnsi="Times New Roman"/>
              </w:rPr>
            </w:pPr>
            <w:r w:rsidRPr="00DF4787">
              <w:rPr>
                <w:rFonts w:ascii="Times New Roman" w:hAnsi="Times New Roman"/>
              </w:rPr>
              <w:t>4.</w:t>
            </w:r>
          </w:p>
        </w:tc>
        <w:tc>
          <w:tcPr>
            <w:tcW w:w="8370" w:type="dxa"/>
          </w:tcPr>
          <w:p w14:paraId="5C4EDD79" w14:textId="456D73D7" w:rsidR="009E3BA0" w:rsidRPr="00DF4787" w:rsidRDefault="009E3BA0" w:rsidP="007F14B4">
            <w:pPr>
              <w:spacing w:line="276" w:lineRule="auto"/>
              <w:rPr>
                <w:rFonts w:ascii="Times New Roman" w:hAnsi="Times New Roman"/>
              </w:rPr>
            </w:pPr>
            <w:r w:rsidRPr="008648BA">
              <w:rPr>
                <w:rFonts w:ascii="Times New Roman" w:hAnsi="Times New Roman"/>
                <w:sz w:val="24"/>
                <w:szCs w:val="24"/>
              </w:rPr>
              <w:t>Number of Major Programs selected for audit</w:t>
            </w:r>
          </w:p>
        </w:tc>
        <w:tc>
          <w:tcPr>
            <w:tcW w:w="720" w:type="dxa"/>
          </w:tcPr>
          <w:p w14:paraId="589361F1" w14:textId="35F4345F" w:rsidR="009E3BA0" w:rsidRPr="00DF4787" w:rsidRDefault="00F67884" w:rsidP="007F14B4">
            <w:pPr>
              <w:spacing w:line="276" w:lineRule="auto"/>
              <w:jc w:val="right"/>
              <w:rPr>
                <w:rFonts w:ascii="Times New Roman" w:hAnsi="Times New Roman"/>
              </w:rPr>
            </w:pPr>
            <w:r>
              <w:rPr>
                <w:rFonts w:ascii="Times New Roman" w:hAnsi="Times New Roman"/>
              </w:rPr>
              <w:t>96,942</w:t>
            </w:r>
          </w:p>
        </w:tc>
      </w:tr>
      <w:tr w:rsidR="009E3BA0" w:rsidRPr="00DF4787" w14:paraId="5C5FFE4C" w14:textId="77777777" w:rsidTr="007F14B4">
        <w:tc>
          <w:tcPr>
            <w:tcW w:w="445" w:type="dxa"/>
          </w:tcPr>
          <w:p w14:paraId="193BD475" w14:textId="69AB9BA6" w:rsidR="009E3BA0" w:rsidRPr="00DF4787" w:rsidRDefault="009E3BA0" w:rsidP="007F14B4">
            <w:pPr>
              <w:spacing w:line="276" w:lineRule="auto"/>
              <w:rPr>
                <w:rFonts w:ascii="Times New Roman" w:hAnsi="Times New Roman"/>
              </w:rPr>
            </w:pPr>
            <w:r>
              <w:rPr>
                <w:rFonts w:ascii="Times New Roman" w:hAnsi="Times New Roman"/>
              </w:rPr>
              <w:t>5.</w:t>
            </w:r>
          </w:p>
        </w:tc>
        <w:tc>
          <w:tcPr>
            <w:tcW w:w="8370" w:type="dxa"/>
          </w:tcPr>
          <w:p w14:paraId="27524ED1" w14:textId="00004071" w:rsidR="009E3BA0" w:rsidRPr="00DF4787" w:rsidRDefault="009E3BA0" w:rsidP="007F14B4">
            <w:pPr>
              <w:spacing w:line="276" w:lineRule="auto"/>
              <w:rPr>
                <w:rFonts w:ascii="Times New Roman" w:hAnsi="Times New Roman"/>
              </w:rPr>
            </w:pPr>
            <w:r w:rsidRPr="008648BA">
              <w:rPr>
                <w:rFonts w:ascii="Times New Roman" w:hAnsi="Times New Roman"/>
                <w:sz w:val="24"/>
                <w:szCs w:val="24"/>
              </w:rPr>
              <w:t>Number of Audit Objectives in the Compliance Supplement</w:t>
            </w:r>
            <w:r w:rsidR="00702D23">
              <w:rPr>
                <w:rFonts w:ascii="Times New Roman" w:hAnsi="Times New Roman"/>
                <w:sz w:val="24"/>
                <w:szCs w:val="24"/>
              </w:rPr>
              <w:t xml:space="preserve"> </w:t>
            </w:r>
          </w:p>
        </w:tc>
        <w:tc>
          <w:tcPr>
            <w:tcW w:w="720" w:type="dxa"/>
          </w:tcPr>
          <w:p w14:paraId="1BA67840" w14:textId="4AD9016A" w:rsidR="009E3BA0" w:rsidRPr="00DF4787" w:rsidRDefault="00702D23" w:rsidP="007F14B4">
            <w:pPr>
              <w:spacing w:line="276" w:lineRule="auto"/>
              <w:jc w:val="right"/>
              <w:rPr>
                <w:rFonts w:ascii="Times New Roman" w:hAnsi="Times New Roman"/>
              </w:rPr>
            </w:pPr>
            <w:r>
              <w:rPr>
                <w:rFonts w:ascii="Times New Roman" w:hAnsi="Times New Roman"/>
              </w:rPr>
              <w:t>**73</w:t>
            </w:r>
          </w:p>
        </w:tc>
      </w:tr>
    </w:tbl>
    <w:p w14:paraId="39C107C1" w14:textId="51F829D2" w:rsidR="00702D23" w:rsidRPr="00702D23" w:rsidRDefault="009E3BA0" w:rsidP="00702D23">
      <w:pPr>
        <w:spacing w:after="120" w:line="240" w:lineRule="auto"/>
        <w:ind w:firstLine="720"/>
        <w:rPr>
          <w:rFonts w:ascii="Times New Roman" w:hAnsi="Times New Roman"/>
          <w:sz w:val="20"/>
          <w:szCs w:val="20"/>
        </w:rPr>
      </w:pPr>
      <w:r w:rsidRPr="00702D23">
        <w:rPr>
          <w:rFonts w:ascii="Times New Roman" w:hAnsi="Times New Roman"/>
          <w:sz w:val="20"/>
          <w:szCs w:val="20"/>
        </w:rPr>
        <w:t>* Data to be collected starting FY 2015</w:t>
      </w:r>
    </w:p>
    <w:p w14:paraId="0218172E" w14:textId="386943A4" w:rsidR="00702D23" w:rsidRPr="00702D23" w:rsidRDefault="00702D23" w:rsidP="00702D23">
      <w:pPr>
        <w:spacing w:after="120" w:line="240" w:lineRule="auto"/>
        <w:ind w:firstLine="720"/>
        <w:rPr>
          <w:rFonts w:ascii="Times New Roman" w:hAnsi="Times New Roman"/>
          <w:sz w:val="20"/>
          <w:szCs w:val="20"/>
        </w:rPr>
      </w:pPr>
      <w:r w:rsidRPr="00702D23">
        <w:rPr>
          <w:rFonts w:ascii="Times New Roman" w:hAnsi="Times New Roman"/>
          <w:sz w:val="20"/>
          <w:szCs w:val="20"/>
        </w:rPr>
        <w:t xml:space="preserve">** Audit objectives in Part 3 – Compliance Requirements of the 2014 Compliance Supplement </w:t>
      </w:r>
    </w:p>
    <w:p w14:paraId="4177DA1C" w14:textId="4FA52A39" w:rsidR="009D5C47" w:rsidRDefault="009D5C47" w:rsidP="009E3BA0">
      <w:pPr>
        <w:spacing w:line="276" w:lineRule="auto"/>
        <w:rPr>
          <w:rFonts w:ascii="Times New Roman" w:hAnsi="Times New Roman"/>
          <w:sz w:val="24"/>
          <w:szCs w:val="24"/>
        </w:rPr>
      </w:pPr>
      <w:r>
        <w:rPr>
          <w:rFonts w:ascii="Times New Roman" w:hAnsi="Times New Roman"/>
          <w:sz w:val="24"/>
          <w:szCs w:val="24"/>
        </w:rPr>
        <w:t xml:space="preserve">These Single Audit </w:t>
      </w:r>
      <w:r w:rsidR="005B2AE6">
        <w:rPr>
          <w:rFonts w:ascii="Times New Roman" w:hAnsi="Times New Roman"/>
          <w:sz w:val="24"/>
          <w:szCs w:val="24"/>
        </w:rPr>
        <w:t>m</w:t>
      </w:r>
      <w:r>
        <w:rPr>
          <w:rFonts w:ascii="Times New Roman" w:hAnsi="Times New Roman"/>
          <w:sz w:val="24"/>
          <w:szCs w:val="24"/>
        </w:rPr>
        <w:t xml:space="preserve">etrics results are aggregated from all the audit submissions by the auditees for FY 2014 (i.e., for fiscal year that ended </w:t>
      </w:r>
      <w:r w:rsidR="005B2AE6">
        <w:rPr>
          <w:rFonts w:ascii="Times New Roman" w:hAnsi="Times New Roman"/>
          <w:sz w:val="24"/>
          <w:szCs w:val="24"/>
        </w:rPr>
        <w:t>between 01/01/2104 through</w:t>
      </w:r>
      <w:r>
        <w:rPr>
          <w:rFonts w:ascii="Times New Roman" w:hAnsi="Times New Roman"/>
          <w:sz w:val="24"/>
          <w:szCs w:val="24"/>
        </w:rPr>
        <w:t xml:space="preserve"> 12/31/2014) to the Federal Audit Clearinghouse.  As of 12/1</w:t>
      </w:r>
      <w:r w:rsidR="00F67884">
        <w:rPr>
          <w:rFonts w:ascii="Times New Roman" w:hAnsi="Times New Roman"/>
          <w:sz w:val="24"/>
          <w:szCs w:val="24"/>
        </w:rPr>
        <w:t>8</w:t>
      </w:r>
      <w:r>
        <w:rPr>
          <w:rFonts w:ascii="Times New Roman" w:hAnsi="Times New Roman"/>
          <w:sz w:val="24"/>
          <w:szCs w:val="24"/>
        </w:rPr>
        <w:t>/2015 we have received 3</w:t>
      </w:r>
      <w:r w:rsidR="00F67884">
        <w:rPr>
          <w:rFonts w:ascii="Times New Roman" w:hAnsi="Times New Roman"/>
          <w:sz w:val="24"/>
          <w:szCs w:val="24"/>
        </w:rPr>
        <w:t>8</w:t>
      </w:r>
      <w:r>
        <w:rPr>
          <w:rFonts w:ascii="Times New Roman" w:hAnsi="Times New Roman"/>
          <w:sz w:val="24"/>
          <w:szCs w:val="24"/>
        </w:rPr>
        <w:t>,</w:t>
      </w:r>
      <w:r w:rsidR="00F67884">
        <w:rPr>
          <w:rFonts w:ascii="Times New Roman" w:hAnsi="Times New Roman"/>
          <w:sz w:val="24"/>
          <w:szCs w:val="24"/>
        </w:rPr>
        <w:t>025</w:t>
      </w:r>
      <w:r>
        <w:rPr>
          <w:rFonts w:ascii="Times New Roman" w:hAnsi="Times New Roman"/>
          <w:sz w:val="24"/>
          <w:szCs w:val="24"/>
        </w:rPr>
        <w:t xml:space="preserve"> audits.</w:t>
      </w:r>
      <w:r w:rsidR="00702D23">
        <w:rPr>
          <w:rFonts w:ascii="Times New Roman" w:hAnsi="Times New Roman"/>
          <w:sz w:val="24"/>
          <w:szCs w:val="24"/>
        </w:rPr>
        <w:t xml:space="preserve">  </w:t>
      </w:r>
      <w:r>
        <w:rPr>
          <w:rFonts w:ascii="Times New Roman" w:hAnsi="Times New Roman"/>
          <w:sz w:val="24"/>
          <w:szCs w:val="24"/>
        </w:rPr>
        <w:t xml:space="preserve">The </w:t>
      </w:r>
      <w:r w:rsidR="005B2AE6">
        <w:rPr>
          <w:rFonts w:ascii="Times New Roman" w:hAnsi="Times New Roman"/>
          <w:sz w:val="24"/>
          <w:szCs w:val="24"/>
        </w:rPr>
        <w:t>m</w:t>
      </w:r>
      <w:r>
        <w:rPr>
          <w:rFonts w:ascii="Times New Roman" w:hAnsi="Times New Roman"/>
          <w:sz w:val="24"/>
          <w:szCs w:val="24"/>
        </w:rPr>
        <w:t xml:space="preserve">etrics results will be updated in March 2016 </w:t>
      </w:r>
      <w:r w:rsidR="005B2AE6">
        <w:rPr>
          <w:rFonts w:ascii="Times New Roman" w:hAnsi="Times New Roman"/>
          <w:sz w:val="24"/>
          <w:szCs w:val="24"/>
        </w:rPr>
        <w:t xml:space="preserve">to provide a more complete picture </w:t>
      </w:r>
      <w:r>
        <w:rPr>
          <w:rFonts w:ascii="Times New Roman" w:hAnsi="Times New Roman"/>
          <w:sz w:val="24"/>
          <w:szCs w:val="24"/>
        </w:rPr>
        <w:t xml:space="preserve">as we expect </w:t>
      </w:r>
      <w:r w:rsidR="005B2AE6">
        <w:rPr>
          <w:rFonts w:ascii="Times New Roman" w:hAnsi="Times New Roman"/>
          <w:sz w:val="24"/>
          <w:szCs w:val="24"/>
        </w:rPr>
        <w:t xml:space="preserve">that </w:t>
      </w:r>
      <w:r>
        <w:rPr>
          <w:rFonts w:ascii="Times New Roman" w:hAnsi="Times New Roman"/>
          <w:sz w:val="24"/>
          <w:szCs w:val="24"/>
        </w:rPr>
        <w:t xml:space="preserve">the rest of FY </w:t>
      </w:r>
      <w:r w:rsidR="005B2AE6">
        <w:rPr>
          <w:rFonts w:ascii="Times New Roman" w:hAnsi="Times New Roman"/>
          <w:sz w:val="24"/>
          <w:szCs w:val="24"/>
        </w:rPr>
        <w:t xml:space="preserve">2014 </w:t>
      </w:r>
      <w:r>
        <w:rPr>
          <w:rFonts w:ascii="Times New Roman" w:hAnsi="Times New Roman"/>
          <w:sz w:val="24"/>
          <w:szCs w:val="24"/>
        </w:rPr>
        <w:t>audit</w:t>
      </w:r>
      <w:r w:rsidR="005B2AE6">
        <w:rPr>
          <w:rFonts w:ascii="Times New Roman" w:hAnsi="Times New Roman"/>
          <w:sz w:val="24"/>
          <w:szCs w:val="24"/>
        </w:rPr>
        <w:t>s</w:t>
      </w:r>
      <w:r>
        <w:rPr>
          <w:rFonts w:ascii="Times New Roman" w:hAnsi="Times New Roman"/>
          <w:sz w:val="24"/>
          <w:szCs w:val="24"/>
        </w:rPr>
        <w:t xml:space="preserve"> will be submitted by that </w:t>
      </w:r>
      <w:r w:rsidR="005B2AE6">
        <w:rPr>
          <w:rFonts w:ascii="Times New Roman" w:hAnsi="Times New Roman"/>
          <w:sz w:val="24"/>
          <w:szCs w:val="24"/>
        </w:rPr>
        <w:t>date</w:t>
      </w:r>
      <w:r>
        <w:rPr>
          <w:rFonts w:ascii="Times New Roman" w:hAnsi="Times New Roman"/>
          <w:sz w:val="24"/>
          <w:szCs w:val="24"/>
        </w:rPr>
        <w:t>.</w:t>
      </w:r>
      <w:r w:rsidR="00702D23">
        <w:rPr>
          <w:rFonts w:ascii="Times New Roman" w:hAnsi="Times New Roman"/>
          <w:sz w:val="24"/>
          <w:szCs w:val="24"/>
        </w:rPr>
        <w:t xml:space="preserve">  T</w:t>
      </w:r>
      <w:r>
        <w:rPr>
          <w:rFonts w:ascii="Times New Roman" w:hAnsi="Times New Roman"/>
          <w:sz w:val="24"/>
          <w:szCs w:val="24"/>
        </w:rPr>
        <w:t xml:space="preserve">hese metrics will </w:t>
      </w:r>
      <w:r w:rsidR="00702D23">
        <w:rPr>
          <w:rFonts w:ascii="Times New Roman" w:hAnsi="Times New Roman"/>
          <w:sz w:val="24"/>
          <w:szCs w:val="24"/>
        </w:rPr>
        <w:t xml:space="preserve">help establish a baseline for audits that were conducted before the effective of the Uniform Guidance and will serve to measure over time the effective implementation of the Uniform Guidance, including reductions of unnecessary administrative burden, and reductions in risks of waste, fraud and abuse.  The analysis of these audit metrics will provide demonstrations of success and opportunities and needs for future revisions to the Uniform Guidance.  </w:t>
      </w:r>
    </w:p>
    <w:p w14:paraId="0981D4E6" w14:textId="765E176B" w:rsidR="005B2AE6" w:rsidRDefault="005B2AE6" w:rsidP="009E3BA0">
      <w:pPr>
        <w:spacing w:line="276" w:lineRule="auto"/>
        <w:rPr>
          <w:rFonts w:ascii="Times New Roman" w:hAnsi="Times New Roman"/>
          <w:sz w:val="24"/>
          <w:szCs w:val="24"/>
        </w:rPr>
      </w:pPr>
      <w:r>
        <w:rPr>
          <w:rFonts w:ascii="Times New Roman" w:hAnsi="Times New Roman"/>
          <w:sz w:val="24"/>
          <w:szCs w:val="24"/>
        </w:rPr>
        <w:t xml:space="preserve">The next collection of the Single Audit metrics will be collected for FY 2015 (i.e., for fiscal year that ended between 01/01/2015 and 12/31/2015) in December 2016.  </w:t>
      </w:r>
    </w:p>
    <w:p w14:paraId="2191F879" w14:textId="12B54B20" w:rsidR="005B2AE6" w:rsidRDefault="005B2AE6" w:rsidP="005B2AE6">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Based on the evaluation of these </w:t>
      </w:r>
      <w:r>
        <w:rPr>
          <w:rFonts w:ascii="Times New Roman" w:hAnsi="Times New Roman" w:cs="Times New Roman"/>
          <w:sz w:val="24"/>
          <w:szCs w:val="24"/>
        </w:rPr>
        <w:t>metrics</w:t>
      </w:r>
      <w:r w:rsidRPr="00DF4787">
        <w:rPr>
          <w:rFonts w:ascii="Times New Roman" w:hAnsi="Times New Roman" w:cs="Times New Roman"/>
          <w:sz w:val="24"/>
          <w:szCs w:val="24"/>
        </w:rPr>
        <w:t xml:space="preserve"> after the implementation of the Uniform Guidance, OMB and the COFAR will work with Federal agencies to gauge the success of the </w:t>
      </w:r>
      <w:r>
        <w:rPr>
          <w:rFonts w:ascii="Times New Roman" w:hAnsi="Times New Roman" w:cs="Times New Roman"/>
          <w:sz w:val="24"/>
          <w:szCs w:val="24"/>
        </w:rPr>
        <w:t xml:space="preserve">Uniform </w:t>
      </w:r>
      <w:r w:rsidRPr="00DF4787">
        <w:rPr>
          <w:rFonts w:ascii="Times New Roman" w:hAnsi="Times New Roman" w:cs="Times New Roman"/>
          <w:sz w:val="24"/>
          <w:szCs w:val="24"/>
        </w:rPr>
        <w:t>guidance and the performance of t</w:t>
      </w:r>
      <w:r>
        <w:rPr>
          <w:rFonts w:ascii="Times New Roman" w:hAnsi="Times New Roman" w:cs="Times New Roman"/>
          <w:sz w:val="24"/>
          <w:szCs w:val="24"/>
        </w:rPr>
        <w:t xml:space="preserve">he Federal government’s work in </w:t>
      </w:r>
      <w:r w:rsidRPr="00DF4787">
        <w:rPr>
          <w:rFonts w:ascii="Times New Roman" w:hAnsi="Times New Roman" w:cs="Times New Roman"/>
          <w:sz w:val="24"/>
          <w:szCs w:val="24"/>
        </w:rPr>
        <w:t xml:space="preserve">the </w:t>
      </w:r>
      <w:r>
        <w:rPr>
          <w:rFonts w:ascii="Times New Roman" w:hAnsi="Times New Roman" w:cs="Times New Roman"/>
          <w:sz w:val="24"/>
          <w:szCs w:val="24"/>
        </w:rPr>
        <w:t xml:space="preserve">audit and oversight </w:t>
      </w:r>
      <w:r w:rsidRPr="00DF4787">
        <w:rPr>
          <w:rFonts w:ascii="Times New Roman" w:hAnsi="Times New Roman" w:cs="Times New Roman"/>
          <w:sz w:val="24"/>
          <w:szCs w:val="24"/>
        </w:rPr>
        <w:t>of Federal financial assistance.</w:t>
      </w:r>
    </w:p>
    <w:p w14:paraId="418A3FD4" w14:textId="77777777" w:rsidR="005B2AE6" w:rsidRDefault="005B2AE6" w:rsidP="009E3BA0">
      <w:pPr>
        <w:spacing w:line="276" w:lineRule="auto"/>
        <w:rPr>
          <w:rFonts w:ascii="Times New Roman" w:hAnsi="Times New Roman"/>
          <w:sz w:val="24"/>
          <w:szCs w:val="24"/>
        </w:rPr>
      </w:pPr>
    </w:p>
    <w:p w14:paraId="6FBF8659" w14:textId="77777777" w:rsidR="005B2AE6" w:rsidRDefault="005B2AE6" w:rsidP="009E3BA0">
      <w:pPr>
        <w:spacing w:line="276" w:lineRule="auto"/>
        <w:rPr>
          <w:rFonts w:ascii="Times New Roman" w:hAnsi="Times New Roman"/>
          <w:sz w:val="24"/>
          <w:szCs w:val="24"/>
        </w:rPr>
      </w:pPr>
    </w:p>
    <w:p w14:paraId="03435D03" w14:textId="77777777" w:rsidR="009D5C47" w:rsidRDefault="009D5C47" w:rsidP="009E3BA0">
      <w:pPr>
        <w:spacing w:line="276" w:lineRule="auto"/>
        <w:rPr>
          <w:rFonts w:ascii="Times New Roman" w:hAnsi="Times New Roman"/>
          <w:sz w:val="24"/>
          <w:szCs w:val="24"/>
        </w:rPr>
      </w:pPr>
    </w:p>
    <w:p w14:paraId="1A751808" w14:textId="2DF74CA0" w:rsidR="009D5C47" w:rsidRDefault="009D5C47" w:rsidP="009E3BA0">
      <w:pPr>
        <w:spacing w:line="276" w:lineRule="auto"/>
        <w:rPr>
          <w:rFonts w:ascii="Times New Roman" w:hAnsi="Times New Roman"/>
          <w:sz w:val="24"/>
          <w:szCs w:val="24"/>
        </w:rPr>
      </w:pPr>
      <w:r>
        <w:rPr>
          <w:rFonts w:ascii="Times New Roman" w:hAnsi="Times New Roman"/>
          <w:sz w:val="24"/>
          <w:szCs w:val="24"/>
        </w:rPr>
        <w:t xml:space="preserve"> </w:t>
      </w:r>
    </w:p>
    <w:p w14:paraId="1927A08F" w14:textId="77777777" w:rsidR="009D5C47" w:rsidRPr="009E3BA0" w:rsidRDefault="009D5C47" w:rsidP="009E3BA0">
      <w:pPr>
        <w:spacing w:line="276" w:lineRule="auto"/>
        <w:rPr>
          <w:rFonts w:ascii="Times New Roman" w:hAnsi="Times New Roman"/>
          <w:sz w:val="24"/>
          <w:szCs w:val="24"/>
        </w:rPr>
      </w:pPr>
    </w:p>
    <w:sectPr w:rsidR="009D5C47" w:rsidRPr="009E3BA0" w:rsidSect="0001742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AABAD" w14:textId="77777777" w:rsidR="00D234C5" w:rsidRDefault="00D234C5" w:rsidP="00955812">
      <w:pPr>
        <w:spacing w:after="0" w:line="240" w:lineRule="auto"/>
      </w:pPr>
      <w:r>
        <w:separator/>
      </w:r>
    </w:p>
  </w:endnote>
  <w:endnote w:type="continuationSeparator" w:id="0">
    <w:p w14:paraId="37780350" w14:textId="77777777" w:rsidR="00D234C5" w:rsidRDefault="00D234C5" w:rsidP="0095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55E82" w14:textId="7E489DC7" w:rsidR="00955812" w:rsidRDefault="00955812">
    <w:pPr>
      <w:pStyle w:val="Footer"/>
      <w:jc w:val="center"/>
    </w:pPr>
  </w:p>
  <w:p w14:paraId="0E0782F0" w14:textId="77777777" w:rsidR="00955812" w:rsidRDefault="00955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92A11" w14:textId="77777777" w:rsidR="00D234C5" w:rsidRDefault="00D234C5" w:rsidP="00955812">
      <w:pPr>
        <w:spacing w:after="0" w:line="240" w:lineRule="auto"/>
      </w:pPr>
      <w:r>
        <w:separator/>
      </w:r>
    </w:p>
  </w:footnote>
  <w:footnote w:type="continuationSeparator" w:id="0">
    <w:p w14:paraId="2BADEB41" w14:textId="77777777" w:rsidR="00D234C5" w:rsidRDefault="00D234C5" w:rsidP="009558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B0D3A"/>
    <w:multiLevelType w:val="hybridMultilevel"/>
    <w:tmpl w:val="36F2622A"/>
    <w:lvl w:ilvl="0" w:tplc="46E8C2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D7613"/>
    <w:multiLevelType w:val="hybridMultilevel"/>
    <w:tmpl w:val="2BB056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7E26D3"/>
    <w:multiLevelType w:val="hybridMultilevel"/>
    <w:tmpl w:val="2618E0B6"/>
    <w:lvl w:ilvl="0" w:tplc="06843DD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32162"/>
    <w:multiLevelType w:val="hybridMultilevel"/>
    <w:tmpl w:val="3E64131E"/>
    <w:lvl w:ilvl="0" w:tplc="14C64F0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472B5"/>
    <w:multiLevelType w:val="hybridMultilevel"/>
    <w:tmpl w:val="CE82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A2978"/>
    <w:multiLevelType w:val="hybridMultilevel"/>
    <w:tmpl w:val="6BD095F4"/>
    <w:lvl w:ilvl="0" w:tplc="6F72F69C">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A84A47"/>
    <w:multiLevelType w:val="hybridMultilevel"/>
    <w:tmpl w:val="9AAC576C"/>
    <w:lvl w:ilvl="0" w:tplc="D598B5D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96292"/>
    <w:multiLevelType w:val="hybridMultilevel"/>
    <w:tmpl w:val="664CEC88"/>
    <w:lvl w:ilvl="0" w:tplc="C28C0A7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E9"/>
    <w:rsid w:val="00017426"/>
    <w:rsid w:val="0003267A"/>
    <w:rsid w:val="00125A6B"/>
    <w:rsid w:val="001666DE"/>
    <w:rsid w:val="001950A2"/>
    <w:rsid w:val="001F3DD3"/>
    <w:rsid w:val="00266C2D"/>
    <w:rsid w:val="002D0C6E"/>
    <w:rsid w:val="00334FC7"/>
    <w:rsid w:val="003E1E3C"/>
    <w:rsid w:val="00452048"/>
    <w:rsid w:val="004619DE"/>
    <w:rsid w:val="004A4BF2"/>
    <w:rsid w:val="004B4A1B"/>
    <w:rsid w:val="005078C8"/>
    <w:rsid w:val="0057092C"/>
    <w:rsid w:val="005B2AE6"/>
    <w:rsid w:val="005D4567"/>
    <w:rsid w:val="00647E5D"/>
    <w:rsid w:val="00664DC2"/>
    <w:rsid w:val="00687B31"/>
    <w:rsid w:val="006A07AB"/>
    <w:rsid w:val="006B010B"/>
    <w:rsid w:val="006D255F"/>
    <w:rsid w:val="00702D23"/>
    <w:rsid w:val="007438F0"/>
    <w:rsid w:val="007543AC"/>
    <w:rsid w:val="00757D74"/>
    <w:rsid w:val="00781189"/>
    <w:rsid w:val="007844B5"/>
    <w:rsid w:val="00793A99"/>
    <w:rsid w:val="007D0C84"/>
    <w:rsid w:val="007D40B1"/>
    <w:rsid w:val="008B7DE9"/>
    <w:rsid w:val="008F4356"/>
    <w:rsid w:val="00905D67"/>
    <w:rsid w:val="00955812"/>
    <w:rsid w:val="00965511"/>
    <w:rsid w:val="009B7463"/>
    <w:rsid w:val="009D5C47"/>
    <w:rsid w:val="009E3BA0"/>
    <w:rsid w:val="009F5D4D"/>
    <w:rsid w:val="009F6D07"/>
    <w:rsid w:val="00A312ED"/>
    <w:rsid w:val="00A32AF7"/>
    <w:rsid w:val="00A70FAB"/>
    <w:rsid w:val="00AF2DF3"/>
    <w:rsid w:val="00BE6C77"/>
    <w:rsid w:val="00C142D2"/>
    <w:rsid w:val="00D234C5"/>
    <w:rsid w:val="00D856E6"/>
    <w:rsid w:val="00DB2C89"/>
    <w:rsid w:val="00DE6190"/>
    <w:rsid w:val="00DF4787"/>
    <w:rsid w:val="00E35C5A"/>
    <w:rsid w:val="00ED2F78"/>
    <w:rsid w:val="00ED3AA7"/>
    <w:rsid w:val="00ED44D0"/>
    <w:rsid w:val="00F071FE"/>
    <w:rsid w:val="00F11415"/>
    <w:rsid w:val="00F45FC2"/>
    <w:rsid w:val="00F67884"/>
    <w:rsid w:val="00F72132"/>
    <w:rsid w:val="00FD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AD20"/>
  <w15:chartTrackingRefBased/>
  <w15:docId w15:val="{1AA551CA-9007-47E8-8935-CA54A5BC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DE9"/>
    <w:pPr>
      <w:spacing w:after="0" w:line="240" w:lineRule="auto"/>
      <w:ind w:left="720"/>
      <w:contextualSpacing/>
    </w:pPr>
    <w:rPr>
      <w:rFonts w:ascii="Calibri" w:hAnsi="Calibri" w:cs="Times New Roman"/>
    </w:rPr>
  </w:style>
  <w:style w:type="paragraph" w:styleId="Header">
    <w:name w:val="header"/>
    <w:basedOn w:val="Normal"/>
    <w:link w:val="HeaderChar"/>
    <w:uiPriority w:val="99"/>
    <w:unhideWhenUsed/>
    <w:rsid w:val="0095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12"/>
  </w:style>
  <w:style w:type="paragraph" w:styleId="Footer">
    <w:name w:val="footer"/>
    <w:basedOn w:val="Normal"/>
    <w:link w:val="FooterChar"/>
    <w:uiPriority w:val="99"/>
    <w:unhideWhenUsed/>
    <w:rsid w:val="0095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12"/>
  </w:style>
  <w:style w:type="character" w:styleId="CommentReference">
    <w:name w:val="annotation reference"/>
    <w:basedOn w:val="DefaultParagraphFont"/>
    <w:uiPriority w:val="99"/>
    <w:semiHidden/>
    <w:unhideWhenUsed/>
    <w:rsid w:val="00DE6190"/>
    <w:rPr>
      <w:sz w:val="16"/>
      <w:szCs w:val="16"/>
    </w:rPr>
  </w:style>
  <w:style w:type="paragraph" w:styleId="CommentText">
    <w:name w:val="annotation text"/>
    <w:basedOn w:val="Normal"/>
    <w:link w:val="CommentTextChar"/>
    <w:uiPriority w:val="99"/>
    <w:semiHidden/>
    <w:unhideWhenUsed/>
    <w:rsid w:val="00DE6190"/>
    <w:pPr>
      <w:spacing w:line="240" w:lineRule="auto"/>
    </w:pPr>
    <w:rPr>
      <w:sz w:val="20"/>
      <w:szCs w:val="20"/>
    </w:rPr>
  </w:style>
  <w:style w:type="character" w:customStyle="1" w:styleId="CommentTextChar">
    <w:name w:val="Comment Text Char"/>
    <w:basedOn w:val="DefaultParagraphFont"/>
    <w:link w:val="CommentText"/>
    <w:uiPriority w:val="99"/>
    <w:semiHidden/>
    <w:rsid w:val="00DE6190"/>
    <w:rPr>
      <w:sz w:val="20"/>
      <w:szCs w:val="20"/>
    </w:rPr>
  </w:style>
  <w:style w:type="paragraph" w:styleId="CommentSubject">
    <w:name w:val="annotation subject"/>
    <w:basedOn w:val="CommentText"/>
    <w:next w:val="CommentText"/>
    <w:link w:val="CommentSubjectChar"/>
    <w:uiPriority w:val="99"/>
    <w:semiHidden/>
    <w:unhideWhenUsed/>
    <w:rsid w:val="00DE6190"/>
    <w:rPr>
      <w:b/>
      <w:bCs/>
    </w:rPr>
  </w:style>
  <w:style w:type="character" w:customStyle="1" w:styleId="CommentSubjectChar">
    <w:name w:val="Comment Subject Char"/>
    <w:basedOn w:val="CommentTextChar"/>
    <w:link w:val="CommentSubject"/>
    <w:uiPriority w:val="99"/>
    <w:semiHidden/>
    <w:rsid w:val="00DE6190"/>
    <w:rPr>
      <w:b/>
      <w:bCs/>
      <w:sz w:val="20"/>
      <w:szCs w:val="20"/>
    </w:rPr>
  </w:style>
  <w:style w:type="paragraph" w:styleId="BalloonText">
    <w:name w:val="Balloon Text"/>
    <w:basedOn w:val="Normal"/>
    <w:link w:val="BalloonTextChar"/>
    <w:uiPriority w:val="99"/>
    <w:semiHidden/>
    <w:unhideWhenUsed/>
    <w:rsid w:val="00DE6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190"/>
    <w:rPr>
      <w:rFonts w:ascii="Segoe UI" w:hAnsi="Segoe UI" w:cs="Segoe UI"/>
      <w:sz w:val="18"/>
      <w:szCs w:val="18"/>
    </w:rPr>
  </w:style>
  <w:style w:type="table" w:styleId="TableGrid">
    <w:name w:val="Table Grid"/>
    <w:basedOn w:val="TableNormal"/>
    <w:uiPriority w:val="39"/>
    <w:rsid w:val="00781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DD3"/>
    <w:rPr>
      <w:color w:val="0563C1" w:themeColor="hyperlink"/>
      <w:u w:val="single"/>
    </w:rPr>
  </w:style>
  <w:style w:type="character" w:styleId="FollowedHyperlink">
    <w:name w:val="FollowedHyperlink"/>
    <w:basedOn w:val="DefaultParagraphFont"/>
    <w:uiPriority w:val="99"/>
    <w:semiHidden/>
    <w:unhideWhenUsed/>
    <w:rsid w:val="007D0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default/files/omb/memoranda/2014/m-14-17.pdf" TargetMode="External"/><Relationship Id="rId3" Type="http://schemas.openxmlformats.org/officeDocument/2006/relationships/settings" Target="settings.xml"/><Relationship Id="rId7" Type="http://schemas.openxmlformats.org/officeDocument/2006/relationships/hyperlink" Target="https://www.whitehouse.gov/sites/default/files/omb/memoranda/2014/m-14-17.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hitehouse.gov/sites/default/files/omb/memoranda/2014/m-14-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Doege, Christopher (Intern)</dc:creator>
  <cp:keywords/>
  <dc:description/>
  <cp:lastModifiedBy>Tran, Hai M.</cp:lastModifiedBy>
  <cp:revision>2</cp:revision>
  <cp:lastPrinted>2015-12-17T14:14:00Z</cp:lastPrinted>
  <dcterms:created xsi:type="dcterms:W3CDTF">2015-12-23T20:03:00Z</dcterms:created>
  <dcterms:modified xsi:type="dcterms:W3CDTF">2015-12-23T20:03:00Z</dcterms:modified>
</cp:coreProperties>
</file>