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414713" cy="1716789"/>
            <wp:effectExtent b="0" l="0" r="0" t="0"/>
            <wp:docPr descr="CXO Logo (1).PNG" id="1" name="image2.png"/>
            <a:graphic>
              <a:graphicData uri="http://schemas.openxmlformats.org/drawingml/2006/picture">
                <pic:pic>
                  <pic:nvPicPr>
                    <pic:cNvPr descr="CXO Logo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71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 Government Event: The Presidential Transition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GSA Headquarters, 1800 F Street NW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4,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Morning Session: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Panel Discussion with The Partnership for Public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3450"/>
        <w:tblGridChange w:id="0">
          <w:tblGrid>
            <w:gridCol w:w="264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10:30 - 10:35AM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Welcome and Opening Remarks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10:35 - 11:05AM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Presidential Transition – Updates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11:05 - 11:55AM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Panel Discussion and Q&amp;A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11:55AM - 12:00PM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Critical Resources and Wrap-Up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12:00-1:00PM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Break for Lunch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Afternoon Session: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1:00-2:30PM</w:t>
        <w:tab/>
        <w:t xml:space="preserve">Employee Engagement: “From Workplace Misery to Joyous Productivity”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Robin Talmadge, Department of Transportation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2:30-2:45PM</w:t>
        <w:tab/>
        <w:t xml:space="preserve">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2:45-3:45PM</w:t>
        <w:tab/>
        <w:t xml:space="preserve">Network Visualization:  Mapping Your “Village”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 Hudson, CXO Fellows Program Director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