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VCSS website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hyperlink r:id="rId6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https://vcss.ocfo.gsa.gov/Default.aspx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Support Request</w:t>
      </w:r>
      <w:r w:rsidDel="00000000" w:rsidR="00000000" w:rsidRPr="00000000">
        <w:rPr>
          <w:sz w:val="20"/>
          <w:szCs w:val="20"/>
          <w:rtl w:val="0"/>
        </w:rPr>
        <w:t xml:space="preserve">” button.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6309744" cy="150147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744" cy="150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 User Profile</w:t>
      </w:r>
      <w:r w:rsidDel="00000000" w:rsidR="00000000" w:rsidRPr="00000000">
        <w:rPr>
          <w:sz w:val="20"/>
          <w:szCs w:val="20"/>
          <w:rtl w:val="0"/>
        </w:rPr>
        <w:t xml:space="preserve">” under the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sz w:val="20"/>
          <w:szCs w:val="20"/>
          <w:rtl w:val="0"/>
        </w:rPr>
        <w:t xml:space="preserve">” drop-down menu.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43753" cy="93587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753" cy="93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Vendor</w:t>
      </w:r>
      <w:r w:rsidDel="00000000" w:rsidR="00000000" w:rsidRPr="00000000">
        <w:rPr>
          <w:sz w:val="20"/>
          <w:szCs w:val="20"/>
          <w:rtl w:val="0"/>
        </w:rPr>
        <w:t xml:space="preserve">” or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” in answer to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I am a:</w:t>
      </w:r>
      <w:r w:rsidDel="00000000" w:rsidR="00000000" w:rsidRPr="00000000">
        <w:rPr>
          <w:sz w:val="20"/>
          <w:szCs w:val="20"/>
          <w:rtl w:val="0"/>
        </w:rPr>
        <w:t xml:space="preserve">” and fill out the form with the current and updated information.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561820" cy="38732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820" cy="387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When you have successfully requested to have your contact information updated you will receive a “Thank-you note” on the website as well as an email. If you do not receive change notification within two business days, please forward the email to </w:t>
      </w:r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businessapps@gsa.gov</w:t>
        </w:r>
      </w:hyperlink>
      <w:r w:rsidDel="00000000" w:rsidR="00000000" w:rsidRPr="00000000">
        <w:rPr>
          <w:sz w:val="20"/>
          <w:szCs w:val="20"/>
          <w:rtl w:val="0"/>
        </w:rPr>
        <w:t xml:space="preserve"> so that a status update can be provided.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089049" cy="425154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049" cy="425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Updating VCSS User Contact Information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hyperlink" Target="mailto:businessapps@gsa.gov" TargetMode="External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vcss.ocfo.gsa.gov/Default.aspx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