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**ID__AFARS_5104.710390__ID**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5104.7103-90</w:t>
      </w:r>
      <w:r>
        <w:rPr>
          <w:rFonts w:ascii="Times New Roman" w:hAnsi="Times New Roman"/>
          <w:color w:val="000000"/>
          <w:sz w:val="31"/>
        </w:rPr>
        <w:t xml:space="preserve"> Contract line items for internal use software (IUS).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Definition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As used in this section, the following terms have the same meaning as given in the Implementation Guide for Internal Use Software located on the Procurement.Army.Mil Knowledge Management Portal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https://spcs3.kc.army.mil/asaalt/zp/doccenter/Documents/PARC%20Policy%20Alert%2018-17%20AFARS%205104%20Revision%20Contract%20Line%20Items%20for%20Internal%20Use%20Software%20RMoye.msg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internal use software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valuation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capitalized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expensed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/>
          <w:color w:val="000000"/>
          <w:sz w:val="22"/>
        </w:rPr>
        <w:t>Procedures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When procuring internal use software, Army contracting activities shall—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Confirm that the requiring activity has established separately identifiable line items for all capitalized and expensed requirements in the purchase request;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Ensure the line item structure aligns with the lines of accounting related to the capitalized and expensed classifications assigned by the requiring activity;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Include appropriate invoicing instructions and acceptance criteria in the solicitation and contract or order.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pcs3.kc.army.mil/asaalt/zp/doccenter/Documents/PARC%20Policy%20Alert%2018-17%20AFARS%205104%20Revision%20Contract%20Line%20Items%20for%20Internal%20Use%20Software%20RMoye.msg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