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**ID__AFARS_5106.3023__ID**</w:t>
      </w:r>
    </w:p>
    <w:p>
      <w:pPr>
        <w:pStyle w:val="Heading4"/>
        <w:spacing w:after="269"/>
        <w:ind w:left="120"/>
        <w:jc w:val="left"/>
      </w:pPr>
      <w:r>
        <w:rPr>
          <w:rFonts w:ascii="Times New Roman" w:hAnsi="Times New Roman"/>
          <w:i w:val="false"/>
          <w:color w:val="000000"/>
          <w:sz w:val="24"/>
        </w:rPr>
        <w:t>5106.302-3</w:t>
      </w:r>
      <w:r>
        <w:rPr>
          <w:rFonts w:ascii="Times New Roman" w:hAnsi="Times New Roman"/>
          <w:i w:val="false"/>
          <w:color w:val="000000"/>
          <w:sz w:val="24"/>
        </w:rPr>
        <w:t xml:space="preserve"> Industrial mobilization; engineering, developmental, or research capability; or expert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2304(c)(3) as implemented in FAR 6.302-3(a)(2)(ii), the contracting officer must ensure the certifications required by FAR 6.303-1(c) and FAR 6.303-2(c) contain a statement that the technical and requirements personnel reviewed the proposed effort to ensure that it falls within the charter or special capabilities of the proposed institution. In addition, the statement will explain how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an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