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**ID__AFARS_5106.3024__ID**</w:t>
      </w:r>
    </w:p>
    <w:p>
      <w:pPr>
        <w:pStyle w:val="Heading4"/>
        <w:spacing w:after="269"/>
        <w:ind w:left="120"/>
        <w:jc w:val="left"/>
      </w:pPr>
      <w:r>
        <w:rPr>
          <w:rFonts w:ascii="Times New Roman" w:hAnsi="Times New Roman"/>
          <w:i w:val="false"/>
          <w:color w:val="000000"/>
          <w:sz w:val="24"/>
        </w:rPr>
        <w:t>5106.302-4</w:t>
      </w:r>
      <w:r>
        <w:rPr>
          <w:rFonts w:ascii="Times New Roman" w:hAnsi="Times New Roman"/>
          <w:i w:val="false"/>
          <w:color w:val="000000"/>
          <w:sz w:val="24"/>
        </w:rPr>
        <w:t xml:space="preserve">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2304(c)(4) as implemented in FAR 6.302-4 and DFARS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The 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