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**ID__AFARS_5106.3031__ID**</w:t>
      </w:r>
    </w:p>
    <w:p>
      <w:pPr>
        <w:pStyle w:val="Heading4"/>
        <w:spacing w:after="269"/>
        <w:ind w:left="120"/>
        <w:jc w:val="left"/>
      </w:pPr>
      <w:r>
        <w:rPr>
          <w:rFonts w:ascii="Times New Roman" w:hAnsi="Times New Roman"/>
          <w:i w:val="false"/>
          <w:color w:val="000000"/>
          <w:sz w:val="24"/>
        </w:rPr>
        <w:t>5106.303-1</w:t>
      </w:r>
      <w:r>
        <w:rPr>
          <w:rFonts w:ascii="Times New Roman" w:hAnsi="Times New Roman"/>
          <w:i w:val="false"/>
          <w:color w:val="000000"/>
          <w:sz w:val="24"/>
        </w:rPr>
        <w:t xml:space="preserve"> Requirements.</w:t>
      </w:r>
    </w:p>
    <w:p>
      <w:pPr>
        <w:pBdr>
          <w:top w:space="5"/>
          <w:left w:space="5"/>
          <w:bottom w:space="5"/>
          <w:right w:space="5"/>
        </w:pBdr>
        <w:spacing w:after="0"/>
        <w:ind w:left="225"/>
        <w:jc w:val="left"/>
      </w:pPr>
      <w:r>
        <w:rPr>
          <w:rFonts w:ascii="Times New Roman" w:hAnsi="Times New Roman"/>
          <w:b w:val="false"/>
          <w:i w:val="false"/>
          <w:color w:val="000000"/>
          <w:sz w:val="22"/>
        </w:rPr>
        <w:t>(a) Contracting officers shall not release any solicitation for other than full and open competition prior to approval of the justification, except when citing the authority at 10 U.S.C. 2304(c)(2) as implemented at FAR 6.302-2.</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shall not release any solicitation for a sole-source contract prior to approval of the justification, except when citing the 8(a) authority (15 U.S.C. 637(a)) for an amount exceeding $100 million unless—</w:t>
      </w:r>
    </w:p>
    <w:p>
      <w:pPr>
        <w:pBdr>
          <w:top w:space="5"/>
          <w:left w:space="5"/>
          <w:bottom w:space="5"/>
          <w:right w:space="5"/>
        </w:pBdr>
        <w:spacing w:after="0"/>
        <w:ind w:left="585"/>
        <w:jc w:val="left"/>
      </w:pPr>
      <w:r>
        <w:rPr>
          <w:rFonts w:ascii="Times New Roman" w:hAnsi="Times New Roman"/>
          <w:b w:val="false"/>
          <w:i w:val="false"/>
          <w:color w:val="000000"/>
          <w:sz w:val="22"/>
        </w:rPr>
        <w:t>(2) The head of the procuring activity has approved the justification.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(c) Only United States Government employees formally representing the appropriate functional activity may sign technical and requirements certifications under this provision.</w:t>
      </w:r>
    </w:p>
    <w:p>
      <w:pPr>
        <w:pBdr>
          <w:top w:space="5"/>
          <w:left w:space="5"/>
          <w:bottom w:space="5"/>
          <w:right w:space="5"/>
        </w:pBdr>
        <w:spacing w:after="0"/>
        <w:ind w:left="225"/>
        <w:jc w:val="left"/>
      </w:pPr>
      <w:r>
        <w:rPr>
          <w:rFonts w:ascii="Times New Roman" w:hAnsi="Times New Roman"/>
          <w:b w:val="false"/>
          <w:i w:val="false"/>
          <w:color w:val="000000"/>
          <w:sz w:val="22"/>
        </w:rPr>
        <w:t>(d) A justification approved on a class basis authorizes the award of two or more contract actions using other than full and open competition. Provided that it complies with the requirements below, the justification may encompass identified contract actions for the same or integrally related supplies or services or other contract actions that require essentially identical justification. A justification made on a class basis—</w:t>
      </w:r>
    </w:p>
    <w:p>
      <w:pPr>
        <w:pBdr>
          <w:top w:space="5"/>
          <w:left w:space="5"/>
          <w:bottom w:space="5"/>
          <w:right w:space="5"/>
        </w:pBdr>
        <w:spacing w:after="0"/>
        <w:ind w:left="945"/>
        <w:jc w:val="left"/>
      </w:pPr>
      <w:r>
        <w:rPr>
          <w:rFonts w:ascii="Times New Roman" w:hAnsi="Times New Roman"/>
          <w:b w:val="false"/>
          <w:i w:val="false"/>
          <w:color w:val="000000"/>
          <w:sz w:val="22"/>
        </w:rPr>
        <w:t>(i) Is not limited to a single contractor;</w:t>
      </w:r>
    </w:p>
    <w:p>
      <w:pPr>
        <w:pBdr>
          <w:top w:space="5"/>
          <w:left w:space="5"/>
          <w:bottom w:space="5"/>
          <w:right w:space="5"/>
        </w:pBdr>
        <w:spacing w:after="0"/>
        <w:ind w:left="945"/>
        <w:jc w:val="left"/>
      </w:pPr>
      <w:r>
        <w:rPr>
          <w:rFonts w:ascii="Times New Roman" w:hAnsi="Times New Roman"/>
          <w:b w:val="false"/>
          <w:i w:val="false"/>
          <w:color w:val="000000"/>
          <w:sz w:val="22"/>
        </w:rPr>
        <w:t>(ii) May cover contracts for non-permanent requirements to be awarded in successive fiscal years, provided that the requirements and quantities are included in the Future Years Defense Plan, and their costs have been specifically identified;</w:t>
      </w:r>
    </w:p>
    <w:p>
      <w:pPr>
        <w:pBdr>
          <w:top w:space="5"/>
          <w:left w:space="5"/>
          <w:bottom w:space="5"/>
          <w:right w:space="5"/>
        </w:pBdr>
        <w:spacing w:after="0"/>
        <w:ind w:left="945"/>
        <w:jc w:val="left"/>
      </w:pPr>
      <w:r>
        <w:rPr>
          <w:rFonts w:ascii="Times New Roman" w:hAnsi="Times New Roman"/>
          <w:b w:val="false"/>
          <w:i w:val="false"/>
          <w:color w:val="000000"/>
          <w:sz w:val="22"/>
        </w:rPr>
        <w:t>(iii) Must address every contract included in the scope of the class justification in each paragraph, in detail (e.g., specific quantity and dollar amounts for each contract; detailed documentation of the circumstances supporting the use of other than full and open competitive procedures for each contracting action); and</w:t>
      </w:r>
    </w:p>
    <w:p>
      <w:pPr>
        <w:pBdr>
          <w:top w:space="5"/>
          <w:left w:space="5"/>
          <w:bottom w:space="5"/>
          <w:right w:space="5"/>
        </w:pBdr>
        <w:spacing w:after="0"/>
        <w:ind w:left="945"/>
        <w:jc w:val="left"/>
      </w:pPr>
      <w:r>
        <w:rPr>
          <w:rFonts w:ascii="Times New Roman" w:hAnsi="Times New Roman"/>
          <w:b w:val="false"/>
          <w:i w:val="false"/>
          <w:color w:val="000000"/>
          <w:sz w:val="22"/>
        </w:rPr>
        <w:t>(iv) Must include only those supply or service components that are, and will clearly remain, sole or limited source for the period covered by the justification.</w:t>
      </w:r>
    </w:p>
    <w:p>
      <w:pPr>
        <w:pBdr>
          <w:top w:space="5"/>
          <w:left w:space="5"/>
          <w:bottom w:space="5"/>
          <w:right w:space="5"/>
        </w:pBdr>
        <w:spacing w:after="0"/>
        <w:ind w:left="225"/>
        <w:jc w:val="left"/>
      </w:pPr>
      <w:r>
        <w:rPr>
          <w:rFonts w:ascii="Times New Roman" w:hAnsi="Times New Roman"/>
          <w:b w:val="false"/>
          <w:i w:val="false"/>
          <w:color w:val="000000"/>
          <w:sz w:val="22"/>
        </w:rPr>
        <w:t>(e) If a contracting officer awards a contract exceeding the dollar threshold identified at FAR 6.304(a)(4) prior to approval of the required justification using the authority cited in FAR 6.302-2, the contracting activity must submit the justification for approval to the address in 5101.290(b)(2)(ii)(C) no later than seven calendar days after contract award</w:t>
      </w:r>
      <w:r>
        <w:rPr>
          <w:rFonts w:ascii="Times New Roman" w:hAnsi="Times New Roman"/>
          <w:b w:val="false"/>
          <w:i/>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