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**ID__AFARS_5107.103__ID**</w:t>
      </w:r>
    </w:p>
    <w:p>
      <w:pPr>
        <w:pStyle w:val="Heading3"/>
        <w:spacing w:after="199"/>
        <w:ind w:left="120"/>
        <w:jc w:val="left"/>
      </w:pPr>
      <w:r>
        <w:rPr>
          <w:rFonts w:ascii="Times New Roman" w:hAnsi="Times New Roman"/>
          <w:color w:val="000000"/>
          <w:sz w:val="31"/>
        </w:rPr>
        <w:t>5107.103</w:t>
      </w:r>
      <w:r>
        <w:rPr>
          <w:rFonts w:ascii="Times New Roman" w:hAnsi="Times New Roman"/>
          <w:color w:val="000000"/>
          <w:sz w:val="31"/>
        </w:rPr>
        <w:t xml:space="preserve"> Agency-head responsibilities.</w:t>
      </w:r>
    </w:p>
    <w:p>
      <w:pPr>
        <w:pBdr>
          <w:top w:space="5"/>
          <w:left w:space="5"/>
          <w:bottom w:space="5"/>
          <w:right w:space="5"/>
        </w:pBdr>
        <w:spacing w:after="0"/>
        <w:ind w:left="225"/>
        <w:jc w:val="left"/>
      </w:pPr>
      <w:r>
        <w:rPr>
          <w:rFonts w:ascii="Times New Roman" w:hAnsi="Times New Roman"/>
          <w:b w:val="false"/>
          <w:i w:val="false"/>
          <w:color w:val="000000"/>
          <w:sz w:val="22"/>
        </w:rPr>
        <w:t>(d)(i) Except as provided in (d)(i)(B), prepare written acquisition plans, for up to a five-year period, in accordance with dollar thresholds identified at the DFARS 207.103(d)(i).</w:t>
      </w:r>
    </w:p>
    <w:p>
      <w:pPr>
        <w:pBdr>
          <w:top w:space="5"/>
          <w:left w:space="5"/>
          <w:bottom w:space="5"/>
          <w:right w:space="5"/>
        </w:pBdr>
        <w:spacing w:after="0"/>
        <w:ind w:left="1305"/>
        <w:jc w:val="left"/>
      </w:pPr>
      <w:r>
        <w:rPr>
          <w:rFonts w:ascii="Times New Roman" w:hAnsi="Times New Roman"/>
          <w:b w:val="false"/>
          <w:i w:val="false"/>
          <w:color w:val="000000"/>
          <w:sz w:val="22"/>
        </w:rPr>
        <w:t>(B) Procurements for foreign military sales (see DFARS 225.73), other than procurements funded with U.S. appropriated funds, are exempt from the requirements at DFARS 207.103(d)(i) to prepare a written acquisition plan, when—</w:t>
      </w:r>
    </w:p>
    <w:p>
      <w:pPr>
        <w:pBdr>
          <w:top w:space="5"/>
          <w:left w:space="5"/>
          <w:bottom w:space="5"/>
          <w:right w:space="5"/>
        </w:pBdr>
        <w:spacing w:after="0"/>
        <w:ind w:left="2025"/>
        <w:jc w:val="left"/>
      </w:pPr>
      <w:r>
        <w:rPr>
          <w:rFonts w:ascii="Times New Roman" w:hAnsi="Times New Roman"/>
          <w:b w:val="false"/>
          <w:i w:val="false"/>
          <w:color w:val="000000"/>
          <w:sz w:val="22"/>
        </w:rPr>
        <w:t>(1) An International Agreement Competitive Restrictions (ICAR) has been approved IAW 5106.302-4(c); or</w:t>
      </w:r>
    </w:p>
    <w:p>
      <w:pPr>
        <w:pBdr>
          <w:top w:space="5"/>
          <w:left w:space="5"/>
          <w:bottom w:space="5"/>
          <w:right w:space="5"/>
        </w:pBdr>
        <w:spacing w:after="0"/>
        <w:ind w:left="2025"/>
        <w:jc w:val="left"/>
      </w:pPr>
      <w:r>
        <w:rPr>
          <w:rFonts w:ascii="Times New Roman" w:hAnsi="Times New Roman"/>
          <w:b w:val="false"/>
          <w:i w:val="false"/>
          <w:color w:val="000000"/>
          <w:sz w:val="22"/>
        </w:rPr>
        <w:t>(2) The procurement is for an item of standard Army material (i.e., supplies that, as confirmed by the requiring activity, have been type classified “standard” under Army Regulation 700-142, Type Classification, Material Release, Fielding, and Transfer) for which other acquisition planning documentation exists and can be documented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When there is not a requirement for a written acquisition plan, or the approval authority has waived the requirements of formality and detail in exceptional cases, use an alternate format or contract documentation such as memoranda for record, price negotiation memoranda, simplified acquisition management plan, and acquisition strategies (for service requirements) to record acquisition pre-award decisions and risk assessment information. Contracting officers shall maintain such decision support information in the contract file and to the extent practicable avoid duplication of information between the services acquisition strategy (see 5137.590-6) and the acquisition plan (e.g., by referencing content).</w:t>
      </w:r>
    </w:p>
    <w:p>
      <w:pPr>
        <w:pBdr>
          <w:top w:space="5"/>
          <w:left w:space="5"/>
          <w:bottom w:space="5"/>
          <w:right w:space="5"/>
        </w:pBdr>
        <w:spacing w:after="0"/>
        <w:ind w:left="225"/>
        <w:jc w:val="left"/>
      </w:pPr>
      <w:r>
        <w:rPr>
          <w:rFonts w:ascii="Times New Roman" w:hAnsi="Times New Roman"/>
          <w:b w:val="false"/>
          <w:i w:val="false"/>
          <w:color w:val="000000"/>
          <w:sz w:val="22"/>
        </w:rPr>
        <w:t>(m) Only the acquisition plan approval authority may waive requirements of detail and formality.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