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**ID__AFARS_5107.10390__ID**</w:t>
      </w:r>
    </w:p>
    <w:p>
      <w:pPr>
        <w:pStyle w:val="Heading3"/>
        <w:spacing w:after="199"/>
        <w:ind w:left="120"/>
        <w:jc w:val="left"/>
      </w:pPr>
      <w:r>
        <w:rPr>
          <w:rFonts w:ascii="Times New Roman" w:hAnsi="Times New Roman"/>
          <w:color w:val="000000"/>
          <w:sz w:val="31"/>
        </w:rPr>
        <w:t>5107.103-90</w:t>
      </w:r>
      <w:r>
        <w:rPr>
          <w:rFonts w:ascii="Times New Roman" w:hAnsi="Times New Roman"/>
          <w:color w:val="000000"/>
          <w:sz w:val="31"/>
        </w:rPr>
        <w:t xml:space="preserve"> Acquisition plan approvals.</w:t>
      </w:r>
    </w:p>
    <w:p>
      <w:pPr>
        <w:pBdr>
          <w:top w:space="5"/>
          <w:left w:space="5"/>
          <w:bottom w:space="5"/>
          <w:right w:space="5"/>
        </w:pBdr>
        <w:spacing w:after="0"/>
        <w:ind w:left="225"/>
        <w:jc w:val="left"/>
      </w:pPr>
      <w:r>
        <w:rPr>
          <w:rFonts w:ascii="Times New Roman" w:hAnsi="Times New Roman"/>
          <w:b w:val="false"/>
          <w:i w:val="false"/>
          <w:color w:val="000000"/>
          <w:sz w:val="22"/>
        </w:rPr>
        <w:t>(a) For acquisition plan approval, the dollar thresholds identified at DFARS 207.103(d)(i) apply to the following:</w:t>
      </w:r>
    </w:p>
    <w:p>
      <w:pPr>
        <w:pBdr>
          <w:top w:space="5"/>
          <w:left w:space="5"/>
          <w:bottom w:space="5"/>
          <w:right w:space="5"/>
        </w:pBdr>
        <w:spacing w:after="0"/>
        <w:ind w:left="585"/>
        <w:jc w:val="left"/>
      </w:pPr>
      <w:r>
        <w:rPr>
          <w:rFonts w:ascii="Times New Roman" w:hAnsi="Times New Roman"/>
          <w:b w:val="false"/>
          <w:i w:val="false"/>
          <w:color w:val="000000"/>
          <w:sz w:val="22"/>
        </w:rPr>
        <w:t>(1) 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w:t>
      </w:r>
    </w:p>
    <w:p>
      <w:pPr>
        <w:pBdr>
          <w:top w:space="5"/>
          <w:left w:space="5"/>
          <w:bottom w:space="5"/>
          <w:right w:space="5"/>
        </w:pBdr>
        <w:spacing w:after="0"/>
        <w:ind w:left="585"/>
        <w:jc w:val="left"/>
      </w:pPr>
      <w:r>
        <w:rPr>
          <w:rFonts w:ascii="Times New Roman" w:hAnsi="Times New Roman"/>
          <w:b w:val="false"/>
          <w:i w:val="false"/>
          <w:color w:val="000000"/>
          <w:sz w:val="22"/>
        </w:rPr>
        <w:t>(2) For all non-PEO/direct-reporting program manager acquisitions, the Assistant Secretary of the Army (Acquisition, Logistics and Technology) is the acquisition plan approval authority.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Approval of acquisition plans for procurements below the thresholds identified at DFARS 207.103(d)(i) shall be in accordance with contracting activity procedures.</w:t>
      </w:r>
    </w:p>
    <w:p>
      <w:pPr>
        <w:pBdr>
          <w:top w:space="5"/>
          <w:left w:space="5"/>
          <w:bottom w:space="5"/>
          <w:right w:space="5"/>
        </w:pBdr>
        <w:spacing w:after="0"/>
        <w:ind w:left="225"/>
        <w:jc w:val="left"/>
      </w:pPr>
      <w:r>
        <w:rPr>
          <w:rFonts w:ascii="Times New Roman" w:hAnsi="Times New Roman"/>
          <w:b w:val="false"/>
          <w:i w:val="false"/>
          <w:color w:val="000000"/>
          <w:sz w:val="22"/>
        </w:rPr>
        <w:t>(c) For Army Acquisition Executive-designated special interest acquisitions, the Assistant Secretary of the Army (Acquisition, Logistics and Technology) or the Deputy Assistant Secretary of the Army (Procurement) must approve the acquisition plans. Process acquisition plans for special interest acquisitions in the same manner as other acquisition plans and include all the concurrences listed in paragraph (c).</w:t>
      </w:r>
    </w:p>
    <w:p>
      <w:pPr>
        <w:pBdr>
          <w:top w:space="5"/>
          <w:left w:space="5"/>
          <w:bottom w:space="5"/>
          <w:right w:space="5"/>
        </w:pBdr>
        <w:spacing w:after="0"/>
        <w:ind w:left="225"/>
        <w:jc w:val="left"/>
      </w:pPr>
      <w:r>
        <w:rPr>
          <w:rFonts w:ascii="Times New Roman" w:hAnsi="Times New Roman"/>
          <w:b w:val="false"/>
          <w:i w:val="false"/>
          <w:color w:val="000000"/>
          <w:sz w:val="22"/>
        </w:rPr>
        <w:t>(d) The requests for approval of acquisition plans in accordance with the thresholds identified at DFARS 207.103(d)(i) must include the concurrence of the –</w:t>
      </w:r>
    </w:p>
    <w:p>
      <w:pPr>
        <w:pBdr>
          <w:top w:space="5"/>
          <w:left w:space="5"/>
          <w:bottom w:space="5"/>
          <w:right w:space="5"/>
        </w:pBdr>
        <w:spacing w:after="0"/>
        <w:ind w:left="585"/>
        <w:jc w:val="left"/>
      </w:pPr>
      <w:r>
        <w:rPr>
          <w:rFonts w:ascii="Times New Roman" w:hAnsi="Times New Roman"/>
          <w:b w:val="false"/>
          <w:i w:val="false"/>
          <w:color w:val="000000"/>
          <w:sz w:val="22"/>
        </w:rPr>
        <w:t>(1)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Local advocate for competition;</w:t>
      </w:r>
    </w:p>
    <w:p>
      <w:pPr>
        <w:pBdr>
          <w:top w:space="5"/>
          <w:left w:space="5"/>
          <w:bottom w:space="5"/>
          <w:right w:space="5"/>
        </w:pBdr>
        <w:spacing w:after="0"/>
        <w:ind w:left="585"/>
        <w:jc w:val="left"/>
      </w:pPr>
      <w:r>
        <w:rPr>
          <w:rFonts w:ascii="Times New Roman" w:hAnsi="Times New Roman"/>
          <w:b w:val="false"/>
          <w:i w:val="false"/>
          <w:color w:val="000000"/>
          <w:sz w:val="22"/>
        </w:rPr>
        <w:t>(3) Local office of small business programs or small business specialist;</w:t>
      </w:r>
    </w:p>
    <w:p>
      <w:pPr>
        <w:pBdr>
          <w:top w:space="5"/>
          <w:left w:space="5"/>
          <w:bottom w:space="5"/>
          <w:right w:space="5"/>
        </w:pBdr>
        <w:spacing w:after="0"/>
        <w:ind w:left="585"/>
        <w:jc w:val="left"/>
      </w:pPr>
      <w:r>
        <w:rPr>
          <w:rFonts w:ascii="Times New Roman" w:hAnsi="Times New Roman"/>
          <w:b w:val="false"/>
          <w:i w:val="false"/>
          <w:color w:val="000000"/>
          <w:sz w:val="22"/>
        </w:rPr>
        <w:t>(4) Legal office; and</w:t>
      </w:r>
    </w:p>
    <w:p>
      <w:pPr>
        <w:pBdr>
          <w:top w:space="5"/>
          <w:left w:space="5"/>
          <w:bottom w:space="5"/>
          <w:right w:space="5"/>
        </w:pBdr>
        <w:spacing w:after="0"/>
        <w:ind w:left="585"/>
        <w:jc w:val="left"/>
      </w:pPr>
      <w:r>
        <w:rPr>
          <w:rFonts w:ascii="Times New Roman" w:hAnsi="Times New Roman"/>
          <w:b w:val="false"/>
          <w:i w:val="false"/>
          <w:color w:val="000000"/>
          <w:sz w:val="22"/>
        </w:rPr>
        <w:t>(5) Appropriate elements from the supporting contracting activity chain of command.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