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**ID__AFARS_5107.104__ID**</w:t>
      </w:r>
    </w:p>
    <w:p>
      <w:pPr>
        <w:pStyle w:val="Heading3"/>
        <w:spacing w:after="199"/>
        <w:ind w:left="120"/>
        <w:jc w:val="left"/>
      </w:pPr>
      <w:r>
        <w:rPr>
          <w:rFonts w:ascii="Times New Roman" w:hAnsi="Times New Roman"/>
          <w:color w:val="000000"/>
          <w:sz w:val="31"/>
        </w:rPr>
        <w:t>5107.104</w:t>
      </w:r>
      <w:r>
        <w:rPr>
          <w:rFonts w:ascii="Times New Roman" w:hAnsi="Times New Roman"/>
          <w:color w:val="000000"/>
          <w:sz w:val="31"/>
        </w:rPr>
        <w:t xml:space="preserve"> General procedures.</w:t>
      </w:r>
    </w:p>
    <w:p>
      <w:pPr>
        <w:pBdr>
          <w:top w:space="5"/>
          <w:left w:space="5"/>
          <w:bottom w:space="5"/>
          <w:right w:space="5"/>
        </w:pBdr>
        <w:spacing w:after="0"/>
        <w:ind w:left="225"/>
        <w:jc w:val="left"/>
      </w:pPr>
      <w:r>
        <w:rPr>
          <w:rFonts w:ascii="Times New Roman" w:hAnsi="Times New Roman"/>
          <w:b w:val="false"/>
          <w:i w:val="false"/>
          <w:color w:val="000000"/>
          <w:sz w:val="22"/>
        </w:rPr>
        <w:t>(a)(i) Each head of the contracting activity (HCA) must establish procedures for forecasting all significant, as defined by a specified monetary threshold, or sensitive contracting requirements anticipated for the upcoming fiscal year.</w:t>
      </w:r>
    </w:p>
    <w:p>
      <w:pPr>
        <w:pBdr>
          <w:top w:space="5"/>
          <w:left w:space="5"/>
          <w:bottom w:space="5"/>
          <w:right w:space="5"/>
        </w:pBdr>
        <w:spacing w:after="0"/>
        <w:ind w:left="945"/>
        <w:jc w:val="left"/>
      </w:pPr>
      <w:r>
        <w:rPr>
          <w:rFonts w:ascii="Times New Roman" w:hAnsi="Times New Roman"/>
          <w:b w:val="false"/>
          <w:i w:val="false"/>
          <w:color w:val="000000"/>
          <w:sz w:val="22"/>
        </w:rPr>
        <w:t>(ii) These procedures will include procurement milestones and other management parameters for all proposed contract actions that the acquisition planning system will cover, including those proposed requirements for which DFARS 207.103(d)(ii) does not require written acquisition plans.</w:t>
      </w:r>
    </w:p>
    <w:p>
      <w:pPr>
        <w:pBdr>
          <w:top w:space="5"/>
          <w:left w:space="5"/>
          <w:bottom w:space="5"/>
          <w:right w:space="5"/>
        </w:pBdr>
        <w:spacing w:after="0"/>
        <w:ind w:left="945"/>
        <w:jc w:val="left"/>
      </w:pPr>
      <w:r>
        <w:rPr>
          <w:rFonts w:ascii="Times New Roman" w:hAnsi="Times New Roman"/>
          <w:b w:val="false"/>
          <w:i w:val="false"/>
          <w:color w:val="000000"/>
          <w:sz w:val="22"/>
        </w:rPr>
        <w:t>(iii) These procedures should allow sufficient time for development of an acquisition plan; preparation of solicitations, including any necessary coordination with requiring and technical elements; receipt and evaluation of bids or proposals; audits; negotiation; boards or business clearance reviews; source selection and preparation of contractual documents in an orderly and timely manner.</w:t>
      </w:r>
    </w:p>
    <w:p>
      <w:pPr>
        <w:pBdr>
          <w:top w:space="5"/>
          <w:left w:space="5"/>
          <w:bottom w:space="5"/>
          <w:right w:space="5"/>
        </w:pBdr>
        <w:spacing w:after="0"/>
        <w:ind w:left="945"/>
        <w:jc w:val="left"/>
      </w:pPr>
      <w:r>
        <w:rPr>
          <w:rFonts w:ascii="Times New Roman" w:hAnsi="Times New Roman"/>
          <w:b w:val="false"/>
          <w:i w:val="false"/>
          <w:color w:val="000000"/>
          <w:sz w:val="22"/>
        </w:rPr>
        <w:t>(iv) HCAs should establish due dates for submission of procurement requests requiring action by the end of the fiscal year to the contracting office. Exceptions to established due dates must be minimized and require authorization at a level not lower than the chief of the contracting office.</w:t>
      </w:r>
    </w:p>
    <w:p>
      <w:pPr>
        <w:pBdr>
          <w:top w:space="5"/>
          <w:left w:space="5"/>
          <w:bottom w:space="5"/>
          <w:right w:space="5"/>
        </w:pBdr>
        <w:spacing w:after="0"/>
        <w:ind w:left="945"/>
        <w:jc w:val="left"/>
      </w:pPr>
      <w:r>
        <w:rPr>
          <w:rFonts w:ascii="Times New Roman" w:hAnsi="Times New Roman"/>
          <w:b w:val="false"/>
          <w:i w:val="false"/>
          <w:color w:val="000000"/>
          <w:sz w:val="22"/>
        </w:rPr>
        <w:t>(v) In acquisitions where sole source approvals are necessary, acquisition planning must provide appropriate opportunities for the following:</w:t>
      </w:r>
    </w:p>
    <w:p>
      <w:pPr>
        <w:pBdr>
          <w:top w:space="5"/>
          <w:left w:space="5"/>
          <w:bottom w:space="5"/>
          <w:right w:space="5"/>
        </w:pBdr>
        <w:spacing w:after="0"/>
        <w:ind w:left="1305"/>
        <w:jc w:val="left"/>
      </w:pPr>
      <w:r>
        <w:rPr>
          <w:rFonts w:ascii="Times New Roman" w:hAnsi="Times New Roman"/>
          <w:b w:val="false"/>
          <w:i w:val="false"/>
          <w:color w:val="000000"/>
          <w:sz w:val="22"/>
        </w:rPr>
        <w:t>(A) Involving Defense Contract Management Agency and Defense Contract Audit Agency early in the acquisition process.</w:t>
      </w:r>
    </w:p>
    <w:p>
      <w:pPr>
        <w:pBdr>
          <w:top w:space="5"/>
          <w:left w:space="5"/>
          <w:bottom w:space="5"/>
          <w:right w:space="5"/>
        </w:pBdr>
        <w:spacing w:after="0"/>
        <w:ind w:left="1305"/>
        <w:jc w:val="left"/>
      </w:pPr>
      <w:r>
        <w:rPr>
          <w:rFonts w:ascii="Times New Roman" w:hAnsi="Times New Roman"/>
          <w:b w:val="false"/>
          <w:i w:val="false"/>
          <w:color w:val="000000"/>
          <w:sz w:val="22"/>
        </w:rPr>
        <w:t>(B) Obtaining appropriate contractor input for use in the development of the acquisition strategy.</w:t>
      </w:r>
    </w:p>
    <w:p>
      <w:pPr>
        <w:pBdr>
          <w:top w:space="5"/>
          <w:left w:space="5"/>
          <w:bottom w:space="5"/>
          <w:right w:space="5"/>
        </w:pBdr>
        <w:spacing w:after="0"/>
        <w:ind w:left="1305"/>
        <w:jc w:val="left"/>
      </w:pPr>
      <w:r>
        <w:rPr>
          <w:rFonts w:ascii="Times New Roman" w:hAnsi="Times New Roman"/>
          <w:b w:val="false"/>
          <w:i w:val="false"/>
          <w:color w:val="000000"/>
          <w:sz w:val="22"/>
        </w:rPr>
        <w:t>(C) Establishing a Government and contractor team, including individuals with execution responsibility as well as reviewers, committed on a real-time basis to streamline the acquisition process and maintain open communications.</w:t>
      </w:r>
    </w:p>
    <w:p>
      <w:pPr>
        <w:pBdr>
          <w:top w:space="5"/>
          <w:left w:space="5"/>
          <w:bottom w:space="5"/>
          <w:right w:space="5"/>
        </w:pBdr>
        <w:spacing w:after="0"/>
        <w:ind w:left="1305"/>
        <w:jc w:val="left"/>
      </w:pPr>
      <w:r>
        <w:rPr>
          <w:rFonts w:ascii="Times New Roman" w:hAnsi="Times New Roman"/>
          <w:b w:val="false"/>
          <w:i w:val="false"/>
          <w:color w:val="000000"/>
          <w:sz w:val="22"/>
        </w:rPr>
        <w:t>(D) Teaming of Government and contractor personnel in development of the proposal and model contract, leading to agreement on contractor effort and costs associated with the task(s).</w:t>
      </w:r>
    </w:p>
    <w:p>
      <w:pPr>
        <w:pBdr>
          <w:top w:space="5"/>
          <w:left w:space="5"/>
          <w:bottom w:space="5"/>
          <w:right w:space="5"/>
        </w:pBdr>
        <w:spacing w:after="0"/>
        <w:ind w:left="1305"/>
        <w:jc w:val="left"/>
      </w:pPr>
      <w:r>
        <w:rPr>
          <w:rFonts w:ascii="Times New Roman" w:hAnsi="Times New Roman"/>
          <w:b w:val="false"/>
          <w:i w:val="false"/>
          <w:color w:val="000000"/>
          <w:sz w:val="22"/>
        </w:rPr>
        <w:t>(E) Teaming of the Government and contractor personnel during post-award contract performance to improve communications and develop efficient contract administration.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