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**ID__AFARS_5101.303__ID**</w:t>
      </w:r>
    </w:p>
    <w:p>
      <w:pPr>
        <w:pStyle w:val="Heading3"/>
        <w:spacing w:after="199"/>
        <w:ind w:left="120"/>
        <w:jc w:val="left"/>
      </w:pPr>
      <w:r>
        <w:rPr>
          <w:rFonts w:ascii="Times New Roman" w:hAnsi="Times New Roman"/>
          <w:color w:val="000000"/>
          <w:sz w:val="31"/>
        </w:rPr>
        <w:t>5101.303</w:t>
      </w:r>
      <w:r>
        <w:rPr>
          <w:rFonts w:ascii="Times New Roman" w:hAnsi="Times New Roman"/>
          <w:color w:val="000000"/>
          <w:sz w:val="31"/>
        </w:rPr>
        <w:t xml:space="preserve"> Publication and codification.</w:t>
      </w:r>
    </w:p>
    <w:p>
      <w:pPr>
        <w:pBdr>
          <w:top w:space="5"/>
          <w:left w:space="5"/>
          <w:bottom w:space="5"/>
          <w:right w:space="5"/>
        </w:pBdr>
        <w:spacing w:after="0"/>
        <w:ind w:left="225"/>
        <w:jc w:val="left"/>
      </w:pPr>
      <w:r>
        <w:rPr>
          <w:rFonts w:ascii="Times New Roman" w:hAnsi="Times New Roman"/>
          <w:b w:val="false"/>
          <w:i w:val="false"/>
          <w:color w:val="000000"/>
          <w:sz w:val="22"/>
        </w:rPr>
        <w:t>(a)(i) The Code of Federal Regulations codifies the AFARS under chapter 51, in Title 48.</w:t>
      </w:r>
    </w:p>
    <w:p>
      <w:pPr>
        <w:pBdr>
          <w:top w:space="5"/>
          <w:left w:space="5"/>
          <w:bottom w:space="5"/>
          <w:right w:space="5"/>
        </w:pBdr>
        <w:spacing w:after="0"/>
        <w:ind w:left="945"/>
        <w:jc w:val="left"/>
      </w:pPr>
      <w:r>
        <w:rPr>
          <w:rFonts w:ascii="Times New Roman" w:hAnsi="Times New Roman"/>
          <w:b w:val="false"/>
          <w:i w:val="false"/>
          <w:color w:val="000000"/>
          <w:sz w:val="22"/>
        </w:rPr>
        <w:t>(ii) To the extent possible, number all AFARS text, whether implemental or supplemental, as if it were implemental. Use supplemental numbering only when the text cannot be integrated intelligibly with its FAR or DFARS counterpart.</w:t>
      </w:r>
    </w:p>
    <w:p>
      <w:pPr>
        <w:pBdr>
          <w:top w:space="5"/>
          <w:left w:space="5"/>
          <w:bottom w:space="5"/>
          <w:right w:space="5"/>
        </w:pBdr>
        <w:spacing w:after="0"/>
        <w:ind w:left="1305"/>
        <w:jc w:val="left"/>
      </w:pPr>
      <w:r>
        <w:rPr>
          <w:rFonts w:ascii="Times New Roman" w:hAnsi="Times New Roman"/>
          <w:b w:val="false"/>
          <w:i w:val="false"/>
          <w:color w:val="000000"/>
          <w:sz w:val="22"/>
        </w:rPr>
        <w:t>(A) The AFARS implemental numbering sequence is the same as the FAR except–</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Insert the number “51” before the primary citation;</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Insert “0” if the primary citation is to a single digit part number; and</w:t>
      </w:r>
    </w:p>
    <w:p>
      <w:pPr>
        <w:pBdr>
          <w:top w:space="5"/>
          <w:left w:space="5"/>
          <w:bottom w:space="5"/>
          <w:right w:space="5"/>
        </w:pBdr>
        <w:spacing w:after="0"/>
        <w:ind w:left="2025"/>
        <w:jc w:val="left"/>
      </w:pPr>
      <w:r>
        <w:rPr>
          <w:rFonts w:ascii="Times New Roman" w:hAnsi="Times New Roman"/>
          <w:b w:val="false"/>
          <w:i/>
          <w:color w:val="000000"/>
          <w:sz w:val="22"/>
        </w:rPr>
        <w:t>(3)</w:t>
      </w:r>
      <w:r>
        <w:rPr>
          <w:rFonts w:ascii="Times New Roman" w:hAnsi="Times New Roman"/>
          <w:b w:val="false"/>
          <w:i w:val="false"/>
          <w:color w:val="000000"/>
          <w:sz w:val="22"/>
        </w:rPr>
        <w:t xml:space="preserve"> When the text exceeds one paragraph, number subdivisions by skipping a unit in the FAR 1.105-2(b)(2) prescribed numbering sequence.</w:t>
      </w:r>
    </w:p>
    <w:p>
      <w:pPr>
        <w:pBdr>
          <w:top w:space="5"/>
          <w:left w:space="5"/>
          <w:bottom w:space="5"/>
          <w:right w:space="5"/>
        </w:pBdr>
        <w:spacing w:after="0"/>
        <w:ind w:left="1305"/>
        <w:jc w:val="left"/>
      </w:pPr>
      <w:r>
        <w:rPr>
          <w:rFonts w:ascii="Times New Roman" w:hAnsi="Times New Roman"/>
          <w:b w:val="false"/>
          <w:i w:val="false"/>
          <w:color w:val="000000"/>
          <w:sz w:val="22"/>
        </w:rPr>
        <w:t>(B) The AFARS supplemental numbering sequence is the same as the FAR except –</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Insert the number “51” before the primary citation;</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Insert “0” if the primary citation is to a single digit part number;</w:t>
      </w:r>
    </w:p>
    <w:p>
      <w:pPr>
        <w:pBdr>
          <w:top w:space="5"/>
          <w:left w:space="5"/>
          <w:bottom w:space="5"/>
          <w:right w:space="5"/>
        </w:pBdr>
        <w:spacing w:after="0"/>
        <w:ind w:left="2025"/>
        <w:jc w:val="left"/>
      </w:pPr>
      <w:r>
        <w:rPr>
          <w:rFonts w:ascii="Times New Roman" w:hAnsi="Times New Roman"/>
          <w:b w:val="false"/>
          <w:i/>
          <w:color w:val="000000"/>
          <w:sz w:val="22"/>
        </w:rPr>
        <w:t>(3)</w:t>
      </w:r>
      <w:r>
        <w:rPr>
          <w:rFonts w:ascii="Times New Roman" w:hAnsi="Times New Roman"/>
          <w:b w:val="false"/>
          <w:i w:val="false"/>
          <w:color w:val="000000"/>
          <w:sz w:val="22"/>
        </w:rPr>
        <w:t xml:space="preserve"> Add “90” to parts, subparts, sections, or subsections;</w:t>
      </w:r>
    </w:p>
    <w:p>
      <w:pPr>
        <w:pBdr>
          <w:top w:space="5"/>
          <w:left w:space="5"/>
          <w:bottom w:space="5"/>
          <w:right w:space="5"/>
        </w:pBdr>
        <w:spacing w:after="0"/>
        <w:ind w:left="2025"/>
        <w:jc w:val="left"/>
      </w:pPr>
      <w:r>
        <w:rPr>
          <w:rFonts w:ascii="Times New Roman" w:hAnsi="Times New Roman"/>
          <w:b w:val="false"/>
          <w:i/>
          <w:color w:val="000000"/>
          <w:sz w:val="22"/>
        </w:rPr>
        <w:t>(4)</w:t>
      </w:r>
      <w:r>
        <w:rPr>
          <w:rFonts w:ascii="Times New Roman" w:hAnsi="Times New Roman"/>
          <w:b w:val="false"/>
          <w:i w:val="false"/>
          <w:color w:val="000000"/>
          <w:sz w:val="22"/>
        </w:rPr>
        <w:t xml:space="preserve"> Add “S-90” to subdivisions; and</w:t>
      </w:r>
    </w:p>
    <w:p>
      <w:pPr>
        <w:pBdr>
          <w:top w:space="5"/>
          <w:left w:space="5"/>
          <w:bottom w:space="5"/>
          <w:right w:space="5"/>
        </w:pBdr>
        <w:spacing w:after="0"/>
        <w:ind w:left="2025"/>
        <w:jc w:val="left"/>
      </w:pPr>
      <w:r>
        <w:rPr>
          <w:rFonts w:ascii="Times New Roman" w:hAnsi="Times New Roman"/>
          <w:b w:val="false"/>
          <w:i/>
          <w:color w:val="000000"/>
          <w:sz w:val="22"/>
        </w:rPr>
        <w:t>(5)</w:t>
      </w:r>
      <w:r>
        <w:rPr>
          <w:rFonts w:ascii="Times New Roman" w:hAnsi="Times New Roman"/>
          <w:b w:val="false"/>
          <w:i w:val="false"/>
          <w:color w:val="000000"/>
          <w:sz w:val="22"/>
        </w:rPr>
        <w:t xml:space="preserve"> When the text exceeds one paragraph, number subdivisions without skipping a unit in the FAR 1.105-2(b)(2) prescribed numbering sequence.</w:t>
      </w:r>
    </w:p>
    <w:p>
      <w:pPr>
        <w:pBdr>
          <w:top w:space="5"/>
          <w:left w:space="5"/>
          <w:bottom w:space="5"/>
          <w:right w:space="5"/>
        </w:pBdr>
        <w:spacing w:after="0"/>
        <w:ind w:left="1305"/>
        <w:jc w:val="left"/>
      </w:pPr>
      <w:r>
        <w:rPr>
          <w:rFonts w:ascii="Times New Roman" w:hAnsi="Times New Roman"/>
          <w:b w:val="false"/>
          <w:i w:val="false"/>
          <w:color w:val="000000"/>
          <w:sz w:val="22"/>
        </w:rPr>
        <w:t>(D) Examples of AFARS implemental and supplemental numbering are in Tables 1-1 and 1-2 respectively:</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666"/>
        <w:gridCol w:w="3442"/>
        <w:gridCol w:w="3466"/>
      </w:tblGrid>
      <w:tr>
        <w:trPr>
          <w:trHeight w:val="5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TABLE 1-1, AFARS IMPLEMENTAL NUMBERING</w:t>
            </w:r>
          </w:p>
        </w:tc>
      </w:tr>
      <w:tr>
        <w:trPr>
          <w:trHeight w:val="525" w:hRule="atLeast"/>
        </w:trPr>
        <w:tc>
          <w:tcPr>
            <w:tcW w:w="666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4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w:t>
            </w:r>
          </w:p>
        </w:tc>
        <w:tc>
          <w:tcPr>
            <w:tcW w:w="346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AFARS</w:t>
            </w:r>
          </w:p>
        </w:tc>
      </w:tr>
      <w:tr>
        <w:trPr>
          <w:trHeight w:val="525" w:hRule="atLeast"/>
        </w:trPr>
        <w:tc>
          <w:tcPr>
            <w:tcW w:w="666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paragraph implementing FAR 19.501</w:t>
            </w:r>
          </w:p>
        </w:tc>
        <w:tc>
          <w:tcPr>
            <w:tcW w:w="34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w:t>
            </w:r>
          </w:p>
        </w:tc>
        <w:tc>
          <w:tcPr>
            <w:tcW w:w="346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tc>
      </w:tr>
      <w:tr>
        <w:trPr>
          <w:trHeight w:val="1965" w:hRule="atLeast"/>
        </w:trPr>
        <w:tc>
          <w:tcPr>
            <w:tcW w:w="666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paragraphs implementing FAR 19.501</w:t>
            </w:r>
          </w:p>
        </w:tc>
        <w:tc>
          <w:tcPr>
            <w:tcW w:w="34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w:t>
            </w:r>
          </w:p>
        </w:tc>
        <w:tc>
          <w:tcPr>
            <w:tcW w:w="346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p>
            <w:pPr>
              <w:pBdr>
                <w:top w:space="5"/>
                <w:left w:space="5"/>
                <w:bottom w:space="5"/>
                <w:right w:space="5"/>
              </w:pBdr>
              <w:spacing w:after="0"/>
              <w:ind w:left="600"/>
              <w:jc w:val="left"/>
            </w:pPr>
            <w:r>
              <w:rPr>
                <w:rFonts w:ascii="Times New Roman" w:hAnsi="Times New Roman"/>
                <w:b w:val="false"/>
                <w:i w:val="false"/>
                <w:color w:val="000000"/>
                <w:sz w:val="22"/>
              </w:rPr>
              <w:t>(1)</w:t>
            </w:r>
          </w:p>
          <w:p>
            <w:pPr>
              <w:pBdr>
                <w:top w:space="5"/>
                <w:left w:space="5"/>
                <w:bottom w:space="5"/>
                <w:right w:space="5"/>
              </w:pBdr>
              <w:spacing w:after="0"/>
              <w:ind w:left="600"/>
              <w:jc w:val="left"/>
            </w:pPr>
            <w:r>
              <w:rPr>
                <w:rFonts w:ascii="Times New Roman" w:hAnsi="Times New Roman"/>
                <w:b w:val="false"/>
                <w:i w:val="false"/>
                <w:color w:val="000000"/>
                <w:sz w:val="22"/>
              </w:rPr>
              <w:t>(2)</w:t>
            </w:r>
          </w:p>
          <w:p>
            <w:pPr>
              <w:pBdr>
                <w:top w:space="5"/>
                <w:left w:space="5"/>
                <w:bottom w:space="5"/>
                <w:right w:space="5"/>
              </w:pBdr>
              <w:spacing w:after="0"/>
              <w:ind w:left="600"/>
              <w:jc w:val="left"/>
            </w:pPr>
            <w:r>
              <w:rPr>
                <w:rFonts w:ascii="Times New Roman" w:hAnsi="Times New Roman"/>
                <w:b w:val="false"/>
                <w:i w:val="false"/>
                <w:color w:val="000000"/>
                <w:sz w:val="22"/>
              </w:rPr>
              <w:t>(3)</w:t>
            </w:r>
          </w:p>
        </w:tc>
      </w:tr>
      <w:tr>
        <w:trPr>
          <w:trHeight w:val="525" w:hRule="atLeast"/>
        </w:trPr>
        <w:tc>
          <w:tcPr>
            <w:tcW w:w="666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paragraph implementing FAR 19.501(a)</w:t>
            </w:r>
          </w:p>
        </w:tc>
        <w:tc>
          <w:tcPr>
            <w:tcW w:w="34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19.501(a)</w:t>
            </w:r>
          </w:p>
        </w:tc>
        <w:tc>
          <w:tcPr>
            <w:tcW w:w="346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5119.501(a)</w:t>
            </w:r>
          </w:p>
        </w:tc>
      </w:tr>
      <w:tr>
        <w:trPr>
          <w:trHeight w:val="1965" w:hRule="atLeast"/>
        </w:trPr>
        <w:tc>
          <w:tcPr>
            <w:tcW w:w="666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paragraphs implementing FAR 19.501(a)</w:t>
            </w:r>
          </w:p>
        </w:tc>
        <w:tc>
          <w:tcPr>
            <w:tcW w:w="34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19.501(a)</w:t>
            </w:r>
          </w:p>
        </w:tc>
        <w:tc>
          <w:tcPr>
            <w:tcW w:w="346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p>
            <w:pPr>
              <w:pBdr>
                <w:top w:space="5"/>
                <w:left w:space="5"/>
                <w:bottom w:space="5"/>
                <w:right w:space="5"/>
              </w:pBdr>
              <w:spacing w:after="0"/>
              <w:ind w:left="240"/>
              <w:jc w:val="left"/>
            </w:pPr>
            <w:r>
              <w:rPr>
                <w:rFonts w:ascii="Times New Roman" w:hAnsi="Times New Roman"/>
                <w:b w:val="false"/>
                <w:i w:val="false"/>
                <w:color w:val="000000"/>
                <w:sz w:val="22"/>
              </w:rPr>
              <w:t>(a)(i)</w:t>
            </w:r>
          </w:p>
          <w:p>
            <w:pPr>
              <w:pBdr>
                <w:top w:space="5"/>
                <w:left w:space="5"/>
                <w:bottom w:space="5"/>
                <w:right w:space="5"/>
              </w:pBdr>
              <w:spacing w:after="0"/>
              <w:ind w:left="960"/>
              <w:jc w:val="left"/>
            </w:pPr>
            <w:r>
              <w:rPr>
                <w:rFonts w:ascii="Times New Roman" w:hAnsi="Times New Roman"/>
                <w:b w:val="false"/>
                <w:i w:val="false"/>
                <w:color w:val="000000"/>
                <w:sz w:val="22"/>
              </w:rPr>
              <w:t>(ii)</w:t>
            </w:r>
          </w:p>
          <w:p>
            <w:pPr>
              <w:pBdr>
                <w:top w:space="5"/>
                <w:left w:space="5"/>
                <w:bottom w:space="5"/>
                <w:right w:space="5"/>
              </w:pBdr>
              <w:spacing w:after="0"/>
              <w:ind w:left="960"/>
              <w:jc w:val="left"/>
            </w:pPr>
            <w:r>
              <w:rPr>
                <w:rFonts w:ascii="Times New Roman" w:hAnsi="Times New Roman"/>
                <w:b w:val="false"/>
                <w:i w:val="false"/>
                <w:color w:val="000000"/>
                <w:sz w:val="22"/>
              </w:rPr>
              <w:t>(iii)</w:t>
            </w:r>
          </w:p>
        </w:tc>
      </w:tr>
      <w:tr>
        <w:trPr>
          <w:trHeight w:val="2445" w:hRule="atLeast"/>
        </w:trPr>
        <w:tc>
          <w:tcPr>
            <w:tcW w:w="666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paragraphs implementing FAR 19.501(a)(1)</w:t>
            </w:r>
          </w:p>
        </w:tc>
        <w:tc>
          <w:tcPr>
            <w:tcW w:w="34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19.501(a)(1)</w:t>
            </w:r>
          </w:p>
        </w:tc>
        <w:tc>
          <w:tcPr>
            <w:tcW w:w="346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p>
            <w:pPr>
              <w:pBdr>
                <w:top w:space="5"/>
                <w:left w:space="5"/>
                <w:bottom w:space="5"/>
                <w:right w:space="5"/>
              </w:pBdr>
              <w:spacing w:after="0"/>
              <w:ind w:left="240"/>
              <w:jc w:val="left"/>
            </w:pPr>
            <w:r>
              <w:rPr>
                <w:rFonts w:ascii="Times New Roman" w:hAnsi="Times New Roman"/>
                <w:b w:val="false"/>
                <w:i w:val="false"/>
                <w:color w:val="000000"/>
                <w:sz w:val="22"/>
              </w:rPr>
              <w:t>(a)</w:t>
            </w:r>
          </w:p>
          <w:p>
            <w:pPr>
              <w:pBdr>
                <w:top w:space="5"/>
                <w:left w:space="5"/>
                <w:bottom w:space="5"/>
                <w:right w:space="5"/>
              </w:pBdr>
              <w:spacing w:after="0"/>
              <w:ind w:left="600"/>
              <w:jc w:val="left"/>
            </w:pPr>
            <w:r>
              <w:rPr>
                <w:rFonts w:ascii="Times New Roman" w:hAnsi="Times New Roman"/>
                <w:b w:val="false"/>
                <w:i w:val="false"/>
                <w:color w:val="000000"/>
                <w:sz w:val="22"/>
              </w:rPr>
              <w:t>(1)(A)</w:t>
            </w:r>
          </w:p>
          <w:p>
            <w:pPr>
              <w:pBdr>
                <w:top w:space="5"/>
                <w:left w:space="5"/>
                <w:bottom w:space="5"/>
                <w:right w:space="5"/>
              </w:pBdr>
              <w:spacing w:after="0"/>
              <w:ind w:left="1320"/>
              <w:jc w:val="left"/>
            </w:pPr>
            <w:r>
              <w:rPr>
                <w:rFonts w:ascii="Times New Roman" w:hAnsi="Times New Roman"/>
                <w:b w:val="false"/>
                <w:i w:val="false"/>
                <w:color w:val="000000"/>
                <w:sz w:val="22"/>
              </w:rPr>
              <w:t>(B)</w:t>
            </w:r>
          </w:p>
          <w:p>
            <w:pPr>
              <w:pBdr>
                <w:top w:space="5"/>
                <w:left w:space="5"/>
                <w:bottom w:space="5"/>
                <w:right w:space="5"/>
              </w:pBdr>
              <w:spacing w:after="0"/>
              <w:ind w:left="1320"/>
              <w:jc w:val="left"/>
            </w:pPr>
            <w:r>
              <w:rPr>
                <w:rFonts w:ascii="Times New Roman" w:hAnsi="Times New Roman"/>
                <w:b w:val="false"/>
                <w:i w:val="false"/>
                <w:color w:val="000000"/>
                <w:sz w:val="22"/>
              </w:rPr>
              <w:t>(C)</w:t>
            </w:r>
          </w:p>
        </w:tc>
      </w:tr>
      <w:tr>
        <w:trPr>
          <w:trHeight w:val="795" w:hRule="atLeast"/>
        </w:trPr>
        <w:tc>
          <w:tcPr>
            <w:tcW w:w="666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Further subdivisions follow the prescribed sequence</w:t>
            </w:r>
          </w:p>
        </w:tc>
        <w:tc>
          <w:tcPr>
            <w:tcW w:w="34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19.501(a)(1)(i)(A)(</w:t>
            </w:r>
            <w:r>
              <w:rPr>
                <w:rFonts w:ascii="Times New Roman" w:hAnsi="Times New Roman"/>
                <w:b w:val="false"/>
                <w:i/>
                <w:color w:val="000000"/>
                <w:sz w:val="22"/>
              </w:rPr>
              <w:t>1)(</w:t>
            </w:r>
            <w:r>
              <w:rPr>
                <w:rFonts w:ascii="Times New Roman" w:hAnsi="Times New Roman"/>
                <w:b w:val="false"/>
                <w:i/>
                <w:color w:val="000000"/>
                <w:sz w:val="22"/>
              </w:rPr>
              <w:t>i</w:t>
            </w:r>
            <w:r>
              <w:rPr>
                <w:rFonts w:ascii="Times New Roman" w:hAnsi="Times New Roman"/>
                <w:b w:val="false"/>
                <w:i/>
                <w:color w:val="000000"/>
                <w:sz w:val="22"/>
              </w:rPr>
              <w:t>)</w:t>
            </w:r>
          </w:p>
        </w:tc>
        <w:tc>
          <w:tcPr>
            <w:tcW w:w="346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5119.501(1)(i)(A</w:t>
            </w:r>
            <w:r>
              <w:rPr>
                <w:rFonts w:ascii="Times New Roman" w:hAnsi="Times New Roman"/>
                <w:b w:val="false"/>
                <w:i/>
                <w:color w:val="000000"/>
                <w:sz w:val="22"/>
              </w:rPr>
              <w:t>)(1)(</w:t>
            </w:r>
            <w:r>
              <w:rPr>
                <w:rFonts w:ascii="Times New Roman" w:hAnsi="Times New Roman"/>
                <w:b w:val="false"/>
                <w:i/>
                <w:color w:val="000000"/>
                <w:sz w:val="22"/>
              </w:rPr>
              <w:t>i</w:t>
            </w:r>
            <w:r>
              <w:rPr>
                <w:rFonts w:ascii="Times New Roman" w:hAnsi="Times New Roman"/>
                <w:b w:val="false"/>
                <w:i/>
                <w:color w:val="000000"/>
                <w:sz w:val="22"/>
              </w:rPr>
              <w:t>)</w:t>
            </w:r>
          </w:p>
        </w:tc>
      </w:tr>
    </w:tbl>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629"/>
        <w:gridCol w:w="4454"/>
        <w:gridCol w:w="5491"/>
      </w:tblGrid>
      <w:tr>
        <w:trPr>
          <w:trHeight w:val="5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TABLE 1-2, AFARS IMPLEMENTAL AND SUPPLEMENTAL NUMBERING</w:t>
            </w:r>
          </w:p>
        </w:tc>
      </w:tr>
      <w:tr>
        <w:trPr>
          <w:trHeight w:val="525" w:hRule="atLeast"/>
        </w:trPr>
        <w:tc>
          <w:tcPr>
            <w:tcW w:w="36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w:t>
            </w:r>
          </w:p>
        </w:tc>
        <w:tc>
          <w:tcPr>
            <w:tcW w:w="44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Implemented As*</w:t>
            </w:r>
          </w:p>
        </w:tc>
        <w:tc>
          <w:tcPr>
            <w:tcW w:w="54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Supplemented As</w:t>
            </w:r>
          </w:p>
        </w:tc>
      </w:tr>
      <w:tr>
        <w:trPr>
          <w:trHeight w:val="525" w:hRule="atLeast"/>
        </w:trPr>
        <w:tc>
          <w:tcPr>
            <w:tcW w:w="36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44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w:t>
            </w:r>
          </w:p>
        </w:tc>
        <w:tc>
          <w:tcPr>
            <w:tcW w:w="54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5119.90</w:t>
            </w:r>
          </w:p>
        </w:tc>
      </w:tr>
      <w:tr>
        <w:trPr>
          <w:trHeight w:val="525" w:hRule="atLeast"/>
        </w:trPr>
        <w:tc>
          <w:tcPr>
            <w:tcW w:w="36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w:t>
            </w:r>
          </w:p>
        </w:tc>
        <w:tc>
          <w:tcPr>
            <w:tcW w:w="44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w:t>
            </w:r>
          </w:p>
        </w:tc>
        <w:tc>
          <w:tcPr>
            <w:tcW w:w="54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5119.590</w:t>
            </w:r>
          </w:p>
        </w:tc>
      </w:tr>
      <w:tr>
        <w:trPr>
          <w:trHeight w:val="525" w:hRule="atLeast"/>
        </w:trPr>
        <w:tc>
          <w:tcPr>
            <w:tcW w:w="36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w:t>
            </w:r>
          </w:p>
        </w:tc>
        <w:tc>
          <w:tcPr>
            <w:tcW w:w="44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tc>
        <w:tc>
          <w:tcPr>
            <w:tcW w:w="54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5119.501-90</w:t>
            </w:r>
          </w:p>
        </w:tc>
      </w:tr>
      <w:tr>
        <w:trPr>
          <w:trHeight w:val="525" w:hRule="atLeast"/>
        </w:trPr>
        <w:tc>
          <w:tcPr>
            <w:tcW w:w="36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w:t>
            </w:r>
          </w:p>
        </w:tc>
        <w:tc>
          <w:tcPr>
            <w:tcW w:w="44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w:t>
            </w:r>
          </w:p>
        </w:tc>
        <w:tc>
          <w:tcPr>
            <w:tcW w:w="54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5119.501-1-90</w:t>
            </w:r>
          </w:p>
        </w:tc>
      </w:tr>
      <w:tr>
        <w:trPr>
          <w:trHeight w:val="525" w:hRule="atLeast"/>
        </w:trPr>
        <w:tc>
          <w:tcPr>
            <w:tcW w:w="36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19.501-1(a)</w:t>
            </w:r>
          </w:p>
        </w:tc>
        <w:tc>
          <w:tcPr>
            <w:tcW w:w="44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5119.501-1(a)</w:t>
            </w:r>
          </w:p>
        </w:tc>
        <w:tc>
          <w:tcPr>
            <w:tcW w:w="54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5119.501-1(a)(S-90)</w:t>
            </w:r>
          </w:p>
        </w:tc>
      </w:tr>
      <w:tr>
        <w:trPr>
          <w:trHeight w:val="525" w:hRule="atLeast"/>
        </w:trPr>
        <w:tc>
          <w:tcPr>
            <w:tcW w:w="36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19.501-1(a)(1)</w:t>
            </w:r>
          </w:p>
        </w:tc>
        <w:tc>
          <w:tcPr>
            <w:tcW w:w="44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5119.501-1(a)(1)</w:t>
            </w:r>
          </w:p>
        </w:tc>
        <w:tc>
          <w:tcPr>
            <w:tcW w:w="54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5119.501-1(a)(1)(S-90)</w:t>
            </w:r>
          </w:p>
        </w:tc>
      </w:tr>
    </w:tbl>
    <w:p>
      <w:pPr>
        <w:pBdr>
          <w:top w:space="5"/>
          <w:left w:space="5"/>
          <w:bottom w:space="5"/>
          <w:right w:space="5"/>
        </w:pBdr>
        <w:spacing w:after="0"/>
        <w:ind w:left="225"/>
        <w:jc w:val="left"/>
      </w:pPr>
      <w:r>
        <w:rPr>
          <w:rFonts w:ascii="Times New Roman" w:hAnsi="Times New Roman"/>
          <w:b w:val="false"/>
          <w:i w:val="false"/>
          <w:color w:val="000000"/>
          <w:sz w:val="22"/>
        </w:rPr>
        <w:t>*Assumes one AFARS paragraph implementing one FAR or DFARS paragraph.</w:t>
      </w:r>
    </w:p>
    <w:p>
      <w:pPr>
        <w:pBdr>
          <w:top w:space="5"/>
          <w:left w:space="5"/>
          <w:bottom w:space="5"/>
          <w:right w:space="5"/>
        </w:pBdr>
        <w:spacing w:after="0"/>
        <w:ind w:left="945"/>
        <w:jc w:val="left"/>
      </w:pPr>
      <w:r>
        <w:rPr>
          <w:rFonts w:ascii="Times New Roman" w:hAnsi="Times New Roman"/>
          <w:b w:val="false"/>
          <w:i w:val="false"/>
          <w:color w:val="000000"/>
          <w:sz w:val="22"/>
        </w:rPr>
        <w:t>(iii) Contracting activities will contact SAAL-PP to obtain numbers for acquisition instruction or guidebook text and clauses.</w:t>
      </w:r>
    </w:p>
    <w:p>
      <w:pPr>
        <w:pBdr>
          <w:top w:space="5"/>
          <w:left w:space="5"/>
          <w:bottom w:space="5"/>
          <w:right w:space="5"/>
        </w:pBdr>
        <w:spacing w:after="0"/>
        <w:ind w:left="1305"/>
        <w:jc w:val="left"/>
      </w:pPr>
      <w:r>
        <w:rPr>
          <w:rFonts w:ascii="Times New Roman" w:hAnsi="Times New Roman"/>
          <w:b w:val="false"/>
          <w:i w:val="false"/>
          <w:color w:val="000000"/>
          <w:sz w:val="22"/>
        </w:rPr>
        <w:t>(A) Chapter 51 reserves subsection numbers 90-99 for AFARS supplementary material with no FAR or DFARS counterpart.</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HQDA reserves numbers 200 and above for Army Materiel Command and major subordinate command unique implementing material with no counterpart in higher-level regulations.</w:t>
      </w:r>
    </w:p>
    <w:p>
      <w:pPr>
        <w:pBdr>
          <w:top w:space="5"/>
          <w:left w:space="5"/>
          <w:bottom w:space="5"/>
          <w:right w:space="5"/>
        </w:pBdr>
        <w:spacing w:after="0"/>
        <w:ind w:left="1305"/>
        <w:jc w:val="left"/>
      </w:pPr>
      <w:r>
        <w:rPr>
          <w:rFonts w:ascii="Times New Roman" w:hAnsi="Times New Roman"/>
          <w:b w:val="false"/>
          <w:i w:val="false"/>
          <w:color w:val="000000"/>
          <w:sz w:val="22"/>
        </w:rPr>
        <w:t>(B) Chapter 51 reserves numbers 9000 and above for supplementary clauses approved for use Army-wide, in specific commands, subordinate commands or contracting offices. (See 5152.101.)</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