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**ID__AFARS_5107.9002__ID**</w:t>
      </w:r>
    </w:p>
    <w:p>
      <w:pPr>
        <w:pStyle w:val="Heading3"/>
        <w:spacing w:after="199"/>
        <w:ind w:left="120"/>
        <w:jc w:val="left"/>
      </w:pPr>
      <w:r>
        <w:rPr>
          <w:rFonts w:ascii="Times New Roman" w:hAnsi="Times New Roman"/>
          <w:color w:val="000000"/>
          <w:sz w:val="31"/>
        </w:rPr>
        <w:t>5107.9002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require the preparation of an IGE in every procurement action in excess of the simplified acquisition threshold (SAT). The contracting officer, at his or her discretion, may require an IGE for actions less than the SAT.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ensure, prior to accepting an IGE, that—</w:t>
      </w:r>
    </w:p>
    <w:p>
      <w:pPr>
        <w:pBdr>
          <w:top w:space="5"/>
          <w:left w:space="5"/>
          <w:bottom w:space="5"/>
          <w:right w:space="5"/>
        </w:pBdr>
        <w:spacing w:after="0"/>
        <w:ind w:left="585"/>
        <w:jc w:val="left"/>
      </w:pPr>
      <w:r>
        <w:rPr>
          <w:rFonts w:ascii="Times New Roman" w:hAnsi="Times New Roman"/>
          <w:b w:val="false"/>
          <w:i w:val="false"/>
          <w:color w:val="000000"/>
          <w:sz w:val="22"/>
        </w:rPr>
        <w:t>(1) The IGE contains enough detail to verify the validity of the offerors’ proposals;</w:t>
      </w:r>
    </w:p>
    <w:p>
      <w:pPr>
        <w:pBdr>
          <w:top w:space="5"/>
          <w:left w:space="5"/>
          <w:bottom w:space="5"/>
          <w:right w:space="5"/>
        </w:pBdr>
        <w:spacing w:after="0"/>
        <w:ind w:left="585"/>
        <w:jc w:val="left"/>
      </w:pPr>
      <w:r>
        <w:rPr>
          <w:rFonts w:ascii="Times New Roman" w:hAnsi="Times New Roman"/>
          <w:b w:val="false"/>
          <w:i w:val="false"/>
          <w:color w:val="000000"/>
          <w:sz w:val="22"/>
        </w:rPr>
        <w:t>(2) The IGE provides sufficient narrative and analytical detail, to include reference material, to support its preparation;</w:t>
      </w:r>
    </w:p>
    <w:p>
      <w:pPr>
        <w:pBdr>
          <w:top w:space="5"/>
          <w:left w:space="5"/>
          <w:bottom w:space="5"/>
          <w:right w:space="5"/>
        </w:pBdr>
        <w:spacing w:after="0"/>
        <w:ind w:left="585"/>
        <w:jc w:val="left"/>
      </w:pPr>
      <w:r>
        <w:rPr>
          <w:rFonts w:ascii="Times New Roman" w:hAnsi="Times New Roman"/>
          <w:b w:val="false"/>
          <w:i w:val="false"/>
          <w:color w:val="000000"/>
          <w:sz w:val="22"/>
        </w:rPr>
        <w:t>(3) The IGE contains a certification that the Government independently developed the IGE prior to seeking formal proposals from contractors, or for construction, within a timeframe consistent with FAR 36.203; and:</w:t>
      </w:r>
    </w:p>
    <w:p>
      <w:pPr>
        <w:pBdr>
          <w:top w:space="5"/>
          <w:left w:space="5"/>
          <w:bottom w:space="5"/>
          <w:right w:space="5"/>
        </w:pBdr>
        <w:spacing w:after="0"/>
        <w:ind w:left="945"/>
        <w:jc w:val="left"/>
      </w:pPr>
      <w:r>
        <w:rPr>
          <w:rFonts w:ascii="Times New Roman" w:hAnsi="Times New Roman"/>
          <w:b w:val="false"/>
          <w:i w:val="false"/>
          <w:color w:val="000000"/>
          <w:sz w:val="22"/>
        </w:rPr>
        <w:t>(i) Be signed and dated, by hand or by Common-Access-Card (CAC), by the preparer, and includes the preparer’s organization, position, title, and telephone number;</w:t>
      </w:r>
    </w:p>
    <w:p>
      <w:pPr>
        <w:pStyle w:val="Normal"/>
        <w:pBdr>
          <w:top w:space="5"/>
          <w:left w:space="5"/>
          <w:bottom w:space="5"/>
          <w:right w:space="5"/>
        </w:pBdr>
        <w:spacing w:after="0"/>
        <w:ind w:left="225"/>
        <w:jc w:val="left"/>
      </w:pPr>
      <w:r>
        <w:rPr>
          <w:rFonts w:ascii="Times New Roman" w:hAnsi="Times New Roman"/>
          <w:color w:val="000000"/>
        </w:rPr>
        <w:t>(ii) Be signed and dated, by hand or by CAC, by the preparer’s immediate supervisor, and includes the reviewer’s organization, position, title, rank or grade, and telephone number.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