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**ID__AFARS_5101.30490__ID**</w:t>
      </w:r>
    </w:p>
    <w:p>
      <w:pPr>
        <w:pStyle w:val="Heading4"/>
        <w:spacing w:after="269"/>
        <w:ind w:left="120"/>
        <w:jc w:val="left"/>
      </w:pPr>
      <w:r>
        <w:rPr>
          <w:rFonts w:ascii="Times New Roman" w:hAnsi="Times New Roman"/>
          <w:i w:val="false"/>
          <w:color w:val="000000"/>
          <w:sz w:val="24"/>
        </w:rPr>
        <w:t>5101.304-90</w:t>
      </w:r>
      <w:r>
        <w:rPr>
          <w:rFonts w:ascii="Times New Roman" w:hAnsi="Times New Roman"/>
          <w:i w:val="false"/>
          <w:color w:val="000000"/>
          <w:sz w:val="24"/>
        </w:rPr>
        <w:t xml:space="preserve"> Army control and compliance.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Definitions</w:t>
      </w:r>
      <w:r>
        <w:rPr>
          <w:rFonts w:ascii="Times New Roman" w:hAnsi="Times New Roman"/>
          <w:b w:val="false"/>
          <w:i w:val="false"/>
          <w:color w:val="000000"/>
          <w:sz w:val="22"/>
        </w:rPr>
        <w:t>. As used in this section—</w:t>
      </w:r>
    </w:p>
    <w:p>
      <w:pPr>
        <w:pBdr>
          <w:top w:space="5"/>
          <w:left w:space="5"/>
          <w:bottom w:space="5"/>
          <w:right w:space="5"/>
        </w:pBdr>
        <w:spacing w:after="0"/>
        <w:ind w:left="585"/>
        <w:jc w:val="left"/>
      </w:pPr>
      <w:r>
        <w:rPr>
          <w:rFonts w:ascii="Times New Roman" w:hAnsi="Times New Roman"/>
          <w:b w:val="false"/>
          <w:i w:val="false"/>
          <w:color w:val="000000"/>
          <w:sz w:val="22"/>
        </w:rPr>
        <w:t>(1) “Acquisition instruction” means the set of governing local processes and procedures developed and maintained by the head of each contracting activity.</w:t>
      </w:r>
    </w:p>
    <w:p>
      <w:pPr>
        <w:pBdr>
          <w:top w:space="5"/>
          <w:left w:space="5"/>
          <w:bottom w:space="5"/>
          <w:right w:space="5"/>
        </w:pBdr>
        <w:spacing w:after="0"/>
        <w:ind w:left="585"/>
        <w:jc w:val="left"/>
      </w:pPr>
      <w:r>
        <w:rPr>
          <w:rFonts w:ascii="Times New Roman" w:hAnsi="Times New Roman"/>
          <w:b w:val="false"/>
          <w:i w:val="false"/>
          <w:color w:val="000000"/>
          <w:sz w:val="22"/>
        </w:rPr>
        <w:t>(2) “Policy” means direction to contracting organizations implementing statute, executive order, regulation, or other governing directives.</w:t>
      </w:r>
    </w:p>
    <w:p>
      <w:pPr>
        <w:pBdr>
          <w:top w:space="5"/>
          <w:left w:space="5"/>
          <w:bottom w:space="5"/>
          <w:right w:space="5"/>
        </w:pBdr>
        <w:spacing w:after="0"/>
        <w:ind w:left="585"/>
        <w:jc w:val="left"/>
      </w:pPr>
      <w:r>
        <w:rPr>
          <w:rFonts w:ascii="Times New Roman" w:hAnsi="Times New Roman"/>
          <w:b w:val="false"/>
          <w:i w:val="false"/>
          <w:color w:val="000000"/>
          <w:sz w:val="22"/>
        </w:rPr>
        <w:t>(3) “Procedure” means an outline of how to perform a process – who performs what action, what sequence they perform the steps in the task, and the criteria (i.e., standard) they must meet to accomplish the goal/end-state.</w:t>
      </w:r>
    </w:p>
    <w:p>
      <w:pPr>
        <w:pBdr>
          <w:top w:space="5"/>
          <w:left w:space="5"/>
          <w:bottom w:space="5"/>
          <w:right w:space="5"/>
        </w:pBdr>
        <w:spacing w:after="0"/>
        <w:ind w:left="585"/>
        <w:jc w:val="left"/>
      </w:pPr>
      <w:r>
        <w:rPr>
          <w:rFonts w:ascii="Times New Roman" w:hAnsi="Times New Roman"/>
          <w:b w:val="false"/>
          <w:i w:val="false"/>
          <w:color w:val="000000"/>
          <w:sz w:val="22"/>
        </w:rPr>
        <w:t>(4) “Process” means a high-level view or map of the tasks required by the policy described in sufficient detail to direct the user to a desired outcome.</w:t>
      </w:r>
    </w:p>
    <w:p>
      <w:pPr>
        <w:pBdr>
          <w:top w:space="5"/>
          <w:left w:space="5"/>
          <w:bottom w:space="5"/>
          <w:right w:space="5"/>
        </w:pBdr>
        <w:spacing w:after="0"/>
        <w:ind w:left="225"/>
        <w:jc w:val="left"/>
      </w:pPr>
      <w:r>
        <w:rPr>
          <w:rFonts w:ascii="Times New Roman" w:hAnsi="Times New Roman"/>
          <w:b w:val="false"/>
          <w:i w:val="false"/>
          <w:color w:val="000000"/>
          <w:sz w:val="22"/>
        </w:rPr>
        <w:t>(b) All Army procurement policy is centralized under the ODASA(P), and ODASA(P) is the only Army organization authorized to issue procurement policy.</w:t>
      </w:r>
    </w:p>
    <w:p>
      <w:pPr>
        <w:pBdr>
          <w:top w:space="5"/>
          <w:left w:space="5"/>
          <w:bottom w:space="5"/>
          <w:right w:space="5"/>
        </w:pBdr>
        <w:spacing w:after="0"/>
        <w:ind w:left="225"/>
        <w:jc w:val="left"/>
      </w:pPr>
      <w:r>
        <w:rPr>
          <w:rFonts w:ascii="Times New Roman" w:hAnsi="Times New Roman"/>
          <w:b w:val="false"/>
          <w:i w:val="false"/>
          <w:color w:val="000000"/>
          <w:sz w:val="22"/>
        </w:rPr>
        <w:t>(c)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pPr>
        <w:pBdr>
          <w:top w:space="5"/>
          <w:left w:space="5"/>
          <w:bottom w:space="5"/>
          <w:right w:space="5"/>
        </w:pBdr>
        <w:spacing w:after="0"/>
        <w:ind w:left="585"/>
        <w:jc w:val="left"/>
      </w:pPr>
      <w:r>
        <w:rPr>
          <w:rFonts w:ascii="Times New Roman" w:hAnsi="Times New Roman"/>
          <w:b w:val="false"/>
          <w:i w:val="false"/>
          <w:color w:val="000000"/>
          <w:sz w:val="22"/>
        </w:rPr>
        <w:t>(1) Acquisition instructions require recurring certification by the Procurement Policy Directorate. The Procurement Policy Directorate shall evaluate the integrity of the acquisition instruction to ensure compliance with established procurement policies, procedures, and regulations. All substantive issues shall be resolved prior to recertification of the acquisition instruction.</w:t>
      </w:r>
    </w:p>
    <w:p>
      <w:pPr>
        <w:pBdr>
          <w:top w:space="5"/>
          <w:left w:space="5"/>
          <w:bottom w:space="5"/>
          <w:right w:space="5"/>
        </w:pBdr>
        <w:spacing w:after="0"/>
        <w:ind w:left="585"/>
        <w:jc w:val="left"/>
      </w:pPr>
      <w:r>
        <w:rPr>
          <w:rFonts w:ascii="Times New Roman" w:hAnsi="Times New Roman"/>
          <w:b w:val="false"/>
          <w:i w:val="false"/>
          <w:color w:val="000000"/>
          <w:sz w:val="22"/>
        </w:rPr>
        <w:t>(2) The first recertification evaluation shall be conducted in fiscal year 2022 between the months of January and March and every three years thereafter. HCAs shall submit their acquisition instruction for review to the DASA(P) in accordance with 5101.290(b)(2)(ii)(A).</w:t>
      </w:r>
    </w:p>
    <w:p>
      <w:pPr>
        <w:pBdr>
          <w:top w:space="5"/>
          <w:left w:space="5"/>
          <w:bottom w:space="5"/>
          <w:right w:space="5"/>
        </w:pBdr>
        <w:spacing w:after="0"/>
        <w:ind w:left="585"/>
        <w:jc w:val="left"/>
      </w:pPr>
      <w:r>
        <w:rPr>
          <w:rFonts w:ascii="Times New Roman" w:hAnsi="Times New Roman"/>
          <w:b w:val="false"/>
          <w:i w:val="false"/>
          <w:color w:val="000000"/>
          <w:sz w:val="22"/>
        </w:rPr>
        <w:t>(3) Acquisition instructions will be submitted electronically for evaluation as follows:</w:t>
      </w:r>
    </w:p>
    <w:p>
      <w:pPr>
        <w:pStyle w:val="Normal"/>
        <w:pBdr>
          <w:top w:space="5"/>
          <w:left w:space="5"/>
          <w:bottom w:space="5"/>
          <w:right w:space="5"/>
        </w:pBdr>
        <w:spacing w:after="0"/>
        <w:ind w:left="225"/>
        <w:jc w:val="left"/>
      </w:pPr>
      <w:r>
        <w:rPr>
          <w:rFonts w:ascii="Times New Roman" w:hAnsi="Times New Roman"/>
          <w:color w:val="000000"/>
        </w:rPr>
        <w:t>ACC AI1 January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MEDCOM AI1 February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NGB AI1 February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USACE AI1 March 2022 and every three years thereafter</w:t>
      </w:r>
    </w:p>
    <w:p>
      <w:pPr>
        <w:pBdr>
          <w:top w:space="5"/>
          <w:left w:space="5"/>
          <w:bottom w:space="5"/>
          <w:right w:space="5"/>
        </w:pBdr>
        <w:spacing w:after="0"/>
        <w:ind w:left="225"/>
        <w:jc w:val="left"/>
      </w:pPr>
      <w:r>
        <w:rPr>
          <w:rFonts w:ascii="Times New Roman" w:hAnsi="Times New Roman"/>
          <w:b w:val="false"/>
          <w:i w:val="false"/>
          <w:color w:val="000000"/>
          <w:sz w:val="22"/>
        </w:rPr>
        <w:t>(d) HCAs must obtain prior DASA(P) approval for actions that require Under Secretary of Defense (Acquisition and Sustainment ) approval. (See DFARS 201.304(1)(i) and AFARS Appendix FF, Department of the Army Plan for Control of Nonstandard Clauses, for approval of nonstandard clauses or provisions.)</w:t>
      </w:r>
    </w:p>
    <w:p>
      <w:pPr>
        <w:pBdr>
          <w:top w:space="5"/>
          <w:left w:space="5"/>
          <w:bottom w:space="5"/>
          <w:right w:space="5"/>
        </w:pBdr>
        <w:spacing w:after="0"/>
        <w:ind w:left="225"/>
        <w:jc w:val="left"/>
      </w:pPr>
      <w:r>
        <w:rPr>
          <w:rFonts w:ascii="Times New Roman" w:hAnsi="Times New Roman"/>
          <w:b w:val="false"/>
          <w:i w:val="false"/>
          <w:color w:val="000000"/>
          <w:sz w:val="22"/>
        </w:rPr>
        <w:t>(e) HCAs shall submit requests for new Army policy to the DASA(P) in accordance with 5101.290(b)(2)(ii)(A). The DASA(P) will coordinate with the HCAs to validate the need for new policy and determine how the policy will be issued to the contracting enterprise.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