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**ID__AFARS_5108.9202__ID**</w:t>
      </w:r>
    </w:p>
    <w:p>
      <w:pPr>
        <w:pStyle w:val="Heading3"/>
        <w:spacing w:after="199"/>
        <w:ind w:left="120"/>
        <w:jc w:val="left"/>
      </w:pPr>
      <w:r>
        <w:rPr>
          <w:rFonts w:ascii="Times New Roman" w:hAnsi="Times New Roman"/>
          <w:color w:val="000000"/>
          <w:sz w:val="31"/>
        </w:rPr>
        <w:t>5108.9202</w:t>
      </w:r>
      <w:r>
        <w:rPr>
          <w:rFonts w:ascii="Times New Roman" w:hAnsi="Times New Roman"/>
          <w:color w:val="000000"/>
          <w:sz w:val="31"/>
        </w:rPr>
        <w:t xml:space="preserve"> Educational services contracts.</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may execute educational services contracts to support ACES for Active Component, Reserve Component and Army National Guard soldiers and to provide Headstart language and host nation acculturation programs for Active Component adult family members.</w:t>
      </w:r>
    </w:p>
    <w:p>
      <w:pPr>
        <w:pBdr>
          <w:top w:space="5"/>
          <w:left w:space="5"/>
          <w:bottom w:space="5"/>
          <w:right w:space="5"/>
        </w:pBdr>
        <w:spacing w:after="0"/>
        <w:ind w:left="225"/>
        <w:jc w:val="left"/>
      </w:pPr>
      <w:r>
        <w:rPr>
          <w:rFonts w:ascii="Times New Roman" w:hAnsi="Times New Roman"/>
          <w:b w:val="false"/>
          <w:i w:val="false"/>
          <w:color w:val="000000"/>
          <w:sz w:val="22"/>
        </w:rPr>
        <w:t>(b) In the continental United States, the tuition assistance procedures described in AR 621-5 are the appropriate method to obtain postsecondary and off-duty high school instruction.</w:t>
      </w:r>
    </w:p>
    <w:p>
      <w:pPr>
        <w:pBdr>
          <w:top w:space="5"/>
          <w:left w:space="5"/>
          <w:bottom w:space="5"/>
          <w:right w:space="5"/>
        </w:pBdr>
        <w:spacing w:after="0"/>
        <w:ind w:left="225"/>
        <w:jc w:val="left"/>
      </w:pPr>
      <w:r>
        <w:rPr>
          <w:rFonts w:ascii="Times New Roman" w:hAnsi="Times New Roman"/>
          <w:b w:val="false"/>
          <w:i w:val="false"/>
          <w:color w:val="000000"/>
          <w:sz w:val="22"/>
        </w:rPr>
        <w:t>(c) Use contracts for the following:</w:t>
      </w:r>
    </w:p>
    <w:p>
      <w:pPr>
        <w:pBdr>
          <w:top w:space="5"/>
          <w:left w:space="5"/>
          <w:bottom w:space="5"/>
          <w:right w:space="5"/>
        </w:pBdr>
        <w:spacing w:after="0"/>
        <w:ind w:left="585"/>
        <w:jc w:val="left"/>
      </w:pPr>
      <w:r>
        <w:rPr>
          <w:rFonts w:ascii="Times New Roman" w:hAnsi="Times New Roman"/>
          <w:b w:val="false"/>
          <w:i w:val="false"/>
          <w:color w:val="000000"/>
          <w:sz w:val="22"/>
        </w:rPr>
        <w:t>(1) Conducting Army education center instruction for programs listed in AR 621-5 and AR 350-20.</w:t>
      </w:r>
    </w:p>
    <w:p>
      <w:pPr>
        <w:pBdr>
          <w:top w:space="5"/>
          <w:left w:space="5"/>
          <w:bottom w:space="5"/>
          <w:right w:space="5"/>
        </w:pBdr>
        <w:spacing w:after="0"/>
        <w:ind w:left="585"/>
        <w:jc w:val="left"/>
      </w:pPr>
      <w:r>
        <w:rPr>
          <w:rFonts w:ascii="Times New Roman" w:hAnsi="Times New Roman"/>
          <w:b w:val="false"/>
          <w:i w:val="false"/>
          <w:color w:val="000000"/>
          <w:sz w:val="22"/>
        </w:rPr>
        <w:t>(2) Testing individuals or groups of individuals who desire to participate in ACES.</w:t>
      </w:r>
    </w:p>
    <w:p>
      <w:pPr>
        <w:pBdr>
          <w:top w:space="5"/>
          <w:left w:space="5"/>
          <w:bottom w:space="5"/>
          <w:right w:space="5"/>
        </w:pBdr>
        <w:spacing w:after="0"/>
        <w:ind w:left="585"/>
        <w:jc w:val="left"/>
      </w:pPr>
      <w:r>
        <w:rPr>
          <w:rFonts w:ascii="Times New Roman" w:hAnsi="Times New Roman"/>
          <w:b w:val="false"/>
          <w:i w:val="false"/>
          <w:color w:val="000000"/>
          <w:sz w:val="22"/>
        </w:rPr>
        <w:t>(3) Army learning center services such as the use of professional, paraprofessional or technical personnel to operate computer laboratories, information centers, language laboratories, military publications reference libraries and provide adjunct instruction for ACES participants.</w:t>
      </w:r>
    </w:p>
    <w:p>
      <w:pPr>
        <w:pBdr>
          <w:top w:space="5"/>
          <w:left w:space="5"/>
          <w:bottom w:space="5"/>
          <w:right w:space="5"/>
        </w:pBdr>
        <w:spacing w:after="0"/>
        <w:ind w:left="585"/>
        <w:jc w:val="left"/>
      </w:pPr>
      <w:r>
        <w:rPr>
          <w:rFonts w:ascii="Times New Roman" w:hAnsi="Times New Roman"/>
          <w:b w:val="false"/>
          <w:i w:val="false"/>
          <w:color w:val="000000"/>
          <w:sz w:val="22"/>
        </w:rPr>
        <w:t>(4) Education transition management services for Active Component only.</w:t>
      </w:r>
    </w:p>
    <w:p>
      <w:pPr>
        <w:pBdr>
          <w:top w:space="5"/>
          <w:left w:space="5"/>
          <w:bottom w:space="5"/>
          <w:right w:space="5"/>
        </w:pBdr>
        <w:spacing w:after="0"/>
        <w:ind w:left="585"/>
        <w:jc w:val="left"/>
      </w:pPr>
      <w:r>
        <w:rPr>
          <w:rFonts w:ascii="Times New Roman" w:hAnsi="Times New Roman"/>
          <w:b w:val="false"/>
          <w:i w:val="false"/>
          <w:color w:val="000000"/>
          <w:sz w:val="22"/>
        </w:rPr>
        <w:t>(5) Education program development, such as curriculum development, software and courseware development.</w:t>
      </w:r>
    </w:p>
    <w:p>
      <w:pPr>
        <w:pBdr>
          <w:top w:space="5"/>
          <w:left w:space="5"/>
          <w:bottom w:space="5"/>
          <w:right w:space="5"/>
        </w:pBdr>
        <w:spacing w:after="0"/>
        <w:ind w:left="585"/>
        <w:jc w:val="left"/>
      </w:pPr>
      <w:r>
        <w:rPr>
          <w:rFonts w:ascii="Times New Roman" w:hAnsi="Times New Roman"/>
          <w:b w:val="false"/>
          <w:i w:val="false"/>
          <w:color w:val="000000"/>
          <w:sz w:val="22"/>
        </w:rPr>
        <w:t>(6) Training for professional development of ACES full-time, permanent, professional staff.</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