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**ID__AFARS_5109.1084__ID**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5109.108-4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Assistant Secretary of the Army (Acquisition, Logistics and Technology) may approve the waiver set forth in FAR 9.108-4.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