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**ID__AFARS_5109.403__ID**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5109.403</w:t>
      </w:r>
      <w:r>
        <w:rPr>
          <w:rFonts w:ascii="Times New Roman" w:hAnsi="Times New Roman"/>
          <w:color w:val="000000"/>
          <w:sz w:val="31"/>
        </w:rPr>
        <w:t xml:space="preserve"> Definitions.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“The Army suspension and debarment official,” as used in this subpart, means –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Director, Soldier &amp; Family Legal Services, or other official designated by The Judge Advocate General of the Army, pursuant to Army Regulation 27-1, to impose suspension and debarment. Use the following address: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Army Suspension and Debarment Official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ATTN: Procurement Fraud Branch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U.S. Army Legal Services Agency (USALSA)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 and Fiscal Law Division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9275 Gunston Road, Building 1450, Suite 2100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Fort Belvoir, VA 22060-5546;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send electronic submissions to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usarmy.pentagon.hqda-otjag.list.usalsa-kfld-pfb@mail.mil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; or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For specific issues outside the contiguous United States –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In the United States Army Europe and Seventh Army area of responsibility, the Deputy Judge Advocate, at the following address: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U.S. Army Europe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Office of the Judge Advocate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Unit 29355, Box 0032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APO AE 09005-9355;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send electronic submissions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usarmy.wiesbaden.usareur.mbx.oja-procurement-fraud@mail.mil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; or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In the United States Eighth Army, Korea, area of responsibility, the Staff Judge Advocate, U.S. Eighth Army, at the following address: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U.S. Eighth Army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PSC 303, Box 47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APO AP 96205;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send electronic submissions to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usarmy.youngsan.8-army.mbx.administrative-law@mail.mil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; or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For all other locations, see paragraph (1) of this definition.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usarmy.pentagon.hqda-otjag.list.usalsa-kfld-pfb@mail.mil" Type="http://schemas.openxmlformats.org/officeDocument/2006/relationships/hyperlink" Id="rId4"/>
    <Relationship TargetMode="External" Target="mailto:usarmy.wiesbaden.usareur.mbx.oja-procurement-fraud@mail.mil" Type="http://schemas.openxmlformats.org/officeDocument/2006/relationships/hyperlink" Id="rId5"/>
    <Relationship TargetMode="External" Target="mailto:usarmy.youngsan.8-army.mbx.administrative-law@mail.mil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