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**ID__AFARS_5109.4051__ID**</w:t>
      </w:r>
    </w:p>
    <w:p>
      <w:pPr>
        <w:pStyle w:val="Heading4"/>
        <w:spacing w:after="269"/>
        <w:ind w:left="120"/>
        <w:jc w:val="left"/>
      </w:pPr>
      <w:r>
        <w:rPr>
          <w:rFonts w:ascii="Times New Roman" w:hAnsi="Times New Roman"/>
          <w:i w:val="false"/>
          <w:color w:val="000000"/>
          <w:sz w:val="24"/>
        </w:rPr>
        <w:t>5109.405-1</w:t>
      </w:r>
      <w:r>
        <w:rPr>
          <w:rFonts w:ascii="Times New Roman" w:hAnsi="Times New Roman"/>
          <w:i w:val="false"/>
          <w:color w:val="000000"/>
          <w:sz w:val="24"/>
        </w:rPr>
        <w:t xml:space="preserve"> Continuation of current contracts.</w:t>
      </w:r>
    </w:p>
    <w:p>
      <w:pPr>
        <w:pBdr>
          <w:top w:space="5"/>
          <w:left w:space="5"/>
          <w:bottom w:space="5"/>
          <w:right w:space="5"/>
        </w:pBdr>
        <w:spacing w:after="0"/>
        <w:ind w:left="225"/>
        <w:jc w:val="left"/>
      </w:pPr>
      <w:r>
        <w:rPr>
          <w:rFonts w:ascii="Times New Roman" w:hAnsi="Times New Roman"/>
          <w:b w:val="false"/>
          <w:i w:val="false"/>
          <w:color w:val="000000"/>
          <w:sz w:val="22"/>
        </w:rPr>
        <w:t>(a) Orders placed under a requirements contract may create a situation in which a contract continues notwithstanding the debarment, suspension, or proposed debarment of a contractor. Army contracting officers shall make decisions regarding whether to terminate a contract and the type of contract termination action, if any, only after review by command contracting and technical personnel, and by legal counsel to ensure the propriety of the proposed action in compliance with federal law and regulation.</w:t>
      </w:r>
    </w:p>
    <w:p>
      <w:pPr>
        <w:pBdr>
          <w:top w:space="5"/>
          <w:left w:space="5"/>
          <w:bottom w:space="5"/>
          <w:right w:space="5"/>
        </w:pBdr>
        <w:spacing w:after="0"/>
        <w:ind w:left="225"/>
        <w:jc w:val="left"/>
      </w:pPr>
      <w:r>
        <w:rPr>
          <w:rFonts w:ascii="Times New Roman" w:hAnsi="Times New Roman"/>
          <w:b w:val="false"/>
          <w:i w:val="false"/>
          <w:color w:val="000000"/>
          <w:sz w:val="22"/>
        </w:rPr>
        <w:t>(b) See 5109.405(a) for procedures on obtaining the agency head determination.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