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**ID__AFARS_5111.2742_A__ID**</w:t>
      </w:r>
    </w:p>
    <w:p>
      <w:pPr>
        <w:pStyle w:val="Heading4"/>
        <w:spacing w:after="269"/>
        <w:ind w:left="120"/>
        <w:jc w:val="left"/>
      </w:pPr>
      <w:r>
        <w:rPr>
          <w:rFonts w:ascii="Times New Roman" w:hAnsi="Times New Roman"/>
          <w:i w:val="false"/>
          <w:color w:val="000000"/>
          <w:sz w:val="24"/>
        </w:rPr>
        <w:t>5111.274-2</w:t>
      </w:r>
      <w:r>
        <w:rPr>
          <w:rFonts w:ascii="Times New Roman" w:hAnsi="Times New Roman"/>
          <w:i w:val="false"/>
          <w:color w:val="000000"/>
          <w:sz w:val="24"/>
        </w:rPr>
        <w:t xml:space="preserve"> (S–90)</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include separately identifiable contract line items as described at DFARS 204.7103 for items, including items of contractor acquired property, that require item unique identification as identified in DFARS 211.274-2.</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