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**ID__AFARS_5101.60190__ID**</w:t>
      </w:r>
    </w:p>
    <w:p>
      <w:pPr>
        <w:pStyle w:val="Heading4"/>
        <w:spacing w:after="269"/>
        <w:ind w:left="120"/>
        <w:jc w:val="left"/>
      </w:pPr>
      <w:r>
        <w:rPr>
          <w:rFonts w:ascii="Times New Roman" w:hAnsi="Times New Roman"/>
          <w:i w:val="false"/>
          <w:color w:val="000000"/>
          <w:sz w:val="24"/>
        </w:rPr>
        <w:t>5101.601-90</w:t>
      </w:r>
      <w:r>
        <w:rPr>
          <w:rFonts w:ascii="Times New Roman" w:hAnsi="Times New Roman"/>
          <w:i w:val="false"/>
          <w:color w:val="000000"/>
          <w:sz w:val="24"/>
        </w:rPr>
        <w:t xml:space="preserve"> Department of the Army contracting authorities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General. Heads of the Contracting Activity (HCAs) have the authority to procure supplies and services to support all customer requirements, unless such procurements fall within the scope of unique contracting authorities assigned to another HCA as described in paragraph (b) below. This framework supports Category Management (CM) reforms, and promotes habitual customer relationships that leverage subject matter expertise to achieve greater contracting outcomes. The list of unique contracting authorities set forth in paragraph (b) is not all-inclusive and will continue to update as CM initiatives evolve. Additionally, the authorities described in paragraph (b), sub-paragraphs (2-4), do not apply to contingency requirement, and contracting operations outside the continental United States and overseas.</w:t>
      </w:r>
    </w:p>
    <w:p>
      <w:pPr>
        <w:pBdr>
          <w:top w:space="5"/>
          <w:left w:space="5"/>
          <w:bottom w:space="5"/>
          <w:right w:space="5"/>
        </w:pBdr>
        <w:spacing w:after="0"/>
        <w:ind w:left="585"/>
        <w:jc w:val="left"/>
      </w:pPr>
      <w:r>
        <w:rPr>
          <w:rFonts w:ascii="Times New Roman" w:hAnsi="Times New Roman"/>
          <w:b w:val="false"/>
          <w:i w:val="false"/>
          <w:color w:val="000000"/>
          <w:sz w:val="22"/>
        </w:rPr>
        <w:t>(1) Delegation of any Army HCA contracting authority is limited to officials within the Department of Army at the levels prescribed in Appendix GG.</w:t>
      </w:r>
    </w:p>
    <w:p>
      <w:pPr>
        <w:pBdr>
          <w:top w:space="5"/>
          <w:left w:space="5"/>
          <w:bottom w:space="5"/>
          <w:right w:space="5"/>
        </w:pBdr>
        <w:spacing w:after="0"/>
        <w:ind w:left="585"/>
        <w:jc w:val="left"/>
      </w:pPr>
      <w:r>
        <w:rPr>
          <w:rFonts w:ascii="Times New Roman" w:hAnsi="Times New Roman"/>
          <w:b w:val="false"/>
          <w:i w:val="false"/>
          <w:color w:val="000000"/>
          <w:sz w:val="22"/>
        </w:rPr>
        <w:t>(2) If a requiring activity presents a requirement in one of the designated commodity areas, to a contracting office not listed in paragraph (b) of this section, that contracting office shall refer the requiring activity to the designated HCA and coordinate with the designated HCA to determine which organization will provide support. If an HCA other than the designated HCA retains that requirement and executes a contract action for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(A) The supporting HCA shall coordinate with the designated HCA as early as practicable in the procurement planning process, to leverage the subject matter expertise of the designated HCA and ensure the solicitations and contracts are properly structured.</w:t>
      </w:r>
    </w:p>
    <w:p>
      <w:pPr>
        <w:pBdr>
          <w:top w:space="5"/>
          <w:left w:space="5"/>
          <w:bottom w:space="5"/>
          <w:right w:space="5"/>
        </w:pBdr>
        <w:spacing w:after="0"/>
        <w:ind w:left="1305"/>
        <w:jc w:val="left"/>
      </w:pPr>
      <w:r>
        <w:rPr>
          <w:rFonts w:ascii="Times New Roman" w:hAnsi="Times New Roman"/>
          <w:b w:val="false"/>
          <w:i w:val="false"/>
          <w:color w:val="000000"/>
          <w:sz w:val="22"/>
        </w:rPr>
        <w:t>(B) The supporting HCA should ensure the requisite contracting and technical/program personnel are properly trained in the contract award and administration of the designated commodity.</w:t>
      </w:r>
    </w:p>
    <w:p>
      <w:pPr>
        <w:pBdr>
          <w:top w:space="5"/>
          <w:left w:space="5"/>
          <w:bottom w:space="5"/>
          <w:right w:space="5"/>
        </w:pBdr>
        <w:spacing w:after="0"/>
        <w:ind w:left="1305"/>
        <w:jc w:val="left"/>
      </w:pPr>
      <w:r>
        <w:rPr>
          <w:rFonts w:ascii="Times New Roman" w:hAnsi="Times New Roman"/>
          <w:b w:val="false"/>
          <w:i w:val="false"/>
          <w:color w:val="000000"/>
          <w:sz w:val="22"/>
        </w:rPr>
        <w:t>(C) The supporting HCA and designated HCA shall maintain a record of the coordination for contract award. The ODASA(P) will review the records during the Procurement Management Reviews.</w:t>
      </w:r>
    </w:p>
    <w:p>
      <w:pPr>
        <w:pBdr>
          <w:top w:space="5"/>
          <w:left w:space="5"/>
          <w:bottom w:space="5"/>
          <w:right w:space="5"/>
        </w:pBdr>
        <w:spacing w:after="0"/>
        <w:ind w:left="225"/>
        <w:jc w:val="left"/>
      </w:pPr>
      <w:r>
        <w:rPr>
          <w:rFonts w:ascii="Times New Roman" w:hAnsi="Times New Roman"/>
          <w:b w:val="false"/>
          <w:i w:val="false"/>
          <w:color w:val="000000"/>
          <w:sz w:val="22"/>
        </w:rPr>
        <w:t>(b) Assignment of Unique Contracting Authorities to Army HCAs. The assigned responsibilities are as follows:</w:t>
      </w:r>
    </w:p>
    <w:p>
      <w:pPr>
        <w:pBdr>
          <w:top w:space="5"/>
          <w:left w:space="5"/>
          <w:bottom w:space="5"/>
          <w:right w:space="5"/>
        </w:pBdr>
        <w:spacing w:after="0"/>
        <w:ind w:left="585"/>
        <w:jc w:val="left"/>
      </w:pPr>
      <w:r>
        <w:rPr>
          <w:rFonts w:ascii="Times New Roman" w:hAnsi="Times New Roman"/>
          <w:b w:val="false"/>
          <w:i w:val="false"/>
          <w:color w:val="000000"/>
          <w:sz w:val="22"/>
        </w:rPr>
        <w:t>(1) The Deputy Assistant Secretary of the Army (Procurement) has the following overarching authorities and responsibilities:</w:t>
      </w:r>
    </w:p>
    <w:p>
      <w:pPr>
        <w:pBdr>
          <w:top w:space="5"/>
          <w:left w:space="5"/>
          <w:bottom w:space="5"/>
          <w:right w:space="5"/>
        </w:pBdr>
        <w:spacing w:after="0"/>
        <w:ind w:left="1305"/>
        <w:jc w:val="left"/>
      </w:pPr>
      <w:r>
        <w:rPr>
          <w:rFonts w:ascii="Times New Roman" w:hAnsi="Times New Roman"/>
          <w:b w:val="false"/>
          <w:i w:val="false"/>
          <w:color w:val="000000"/>
          <w:sz w:val="22"/>
        </w:rPr>
        <w:t>(A) Serves as the Enterprise HCA for the Department of the Army.</w:t>
      </w:r>
    </w:p>
    <w:p>
      <w:pPr>
        <w:pBdr>
          <w:top w:space="5"/>
          <w:left w:space="5"/>
          <w:bottom w:space="5"/>
          <w:right w:space="5"/>
        </w:pBdr>
        <w:spacing w:after="0"/>
        <w:ind w:left="1305"/>
        <w:jc w:val="left"/>
      </w:pPr>
      <w:r>
        <w:rPr>
          <w:rFonts w:ascii="Times New Roman" w:hAnsi="Times New Roman"/>
          <w:b w:val="false"/>
          <w:i w:val="false"/>
          <w:color w:val="000000"/>
          <w:sz w:val="22"/>
        </w:rPr>
        <w:t>(B) Serves as the principal advisor to the Army Senior Procurement Executive (SPE).</w:t>
      </w:r>
    </w:p>
    <w:p>
      <w:pPr>
        <w:pBdr>
          <w:top w:space="5"/>
          <w:left w:space="5"/>
          <w:bottom w:space="5"/>
          <w:right w:space="5"/>
        </w:pBdr>
        <w:spacing w:after="0"/>
        <w:ind w:left="1305"/>
        <w:jc w:val="left"/>
      </w:pPr>
      <w:r>
        <w:rPr>
          <w:rFonts w:ascii="Times New Roman" w:hAnsi="Times New Roman"/>
          <w:b w:val="false"/>
          <w:i w:val="false"/>
          <w:color w:val="000000"/>
          <w:sz w:val="22"/>
        </w:rPr>
        <w:t>(C) Subject to the authority, direction, and control of the SPE, directs other Army HCAs in connection with any procurement or procurement-related matter.</w:t>
      </w:r>
    </w:p>
    <w:p>
      <w:pPr>
        <w:pBdr>
          <w:top w:space="5"/>
          <w:left w:space="5"/>
          <w:bottom w:space="5"/>
          <w:right w:space="5"/>
        </w:pBdr>
        <w:spacing w:after="0"/>
        <w:ind w:left="1305"/>
        <w:jc w:val="left"/>
      </w:pPr>
      <w:r>
        <w:rPr>
          <w:rFonts w:ascii="Times New Roman" w:hAnsi="Times New Roman"/>
          <w:b w:val="false"/>
          <w:i w:val="false"/>
          <w:color w:val="000000"/>
          <w:sz w:val="22"/>
        </w:rPr>
        <w:t>(D) Reviews all Senior Contracting Official (SCO) selections prior to SCO appointment by an Army contracting activity’s HCA.</w:t>
      </w:r>
    </w:p>
    <w:p>
      <w:pPr>
        <w:pBdr>
          <w:top w:space="5"/>
          <w:left w:space="5"/>
          <w:bottom w:space="5"/>
          <w:right w:space="5"/>
        </w:pBdr>
        <w:spacing w:after="0"/>
        <w:ind w:left="1305"/>
        <w:jc w:val="left"/>
      </w:pPr>
      <w:r>
        <w:rPr>
          <w:rFonts w:ascii="Times New Roman" w:hAnsi="Times New Roman"/>
          <w:b w:val="false"/>
          <w:i w:val="false"/>
          <w:color w:val="000000"/>
          <w:sz w:val="22"/>
        </w:rPr>
        <w:t>(E) Acts in the absence of another Army contracting activity’s specifically-designated HCA.</w:t>
      </w:r>
    </w:p>
    <w:p>
      <w:pPr>
        <w:pBdr>
          <w:top w:space="5"/>
          <w:left w:space="5"/>
          <w:bottom w:space="5"/>
          <w:right w:space="5"/>
        </w:pBdr>
        <w:spacing w:after="0"/>
        <w:ind w:left="1305"/>
        <w:jc w:val="left"/>
      </w:pPr>
      <w:r>
        <w:rPr>
          <w:rFonts w:ascii="Times New Roman" w:hAnsi="Times New Roman"/>
          <w:b w:val="false"/>
          <w:i w:val="false"/>
          <w:color w:val="000000"/>
          <w:sz w:val="22"/>
        </w:rPr>
        <w:t>(F) Chairs the Army Contracting Enterprise Executive Committee.</w:t>
      </w:r>
    </w:p>
    <w:p>
      <w:pPr>
        <w:pBdr>
          <w:top w:space="5"/>
          <w:left w:space="5"/>
          <w:bottom w:space="5"/>
          <w:right w:space="5"/>
        </w:pBdr>
        <w:spacing w:after="0"/>
        <w:ind w:left="1305"/>
        <w:jc w:val="left"/>
      </w:pPr>
      <w:r>
        <w:rPr>
          <w:rFonts w:ascii="Times New Roman" w:hAnsi="Times New Roman"/>
          <w:b w:val="false"/>
          <w:i w:val="false"/>
          <w:color w:val="000000"/>
          <w:sz w:val="22"/>
        </w:rPr>
        <w:t>(G) Appoints Program or Project-specific SCOs on a temporary basis within the responsible Army contracting activity. The Program or Project-specific SCO focuses solely on the management of that program’s contract action(s).</w:t>
      </w:r>
    </w:p>
    <w:p>
      <w:pPr>
        <w:pBdr>
          <w:top w:space="5"/>
          <w:left w:space="5"/>
          <w:bottom w:space="5"/>
          <w:right w:space="5"/>
        </w:pBdr>
        <w:spacing w:after="0"/>
        <w:ind w:left="585"/>
        <w:jc w:val="left"/>
      </w:pPr>
      <w:r>
        <w:rPr>
          <w:rFonts w:ascii="Times New Roman" w:hAnsi="Times New Roman"/>
          <w:b w:val="false"/>
          <w:i w:val="false"/>
          <w:color w:val="000000"/>
          <w:sz w:val="22"/>
        </w:rPr>
        <w:t>(2) The HCA for the U.S Army Materiel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Ammunition.</w:t>
      </w:r>
    </w:p>
    <w:p>
      <w:pPr>
        <w:pBdr>
          <w:top w:space="5"/>
          <w:left w:space="5"/>
          <w:bottom w:space="5"/>
          <w:right w:space="5"/>
        </w:pBdr>
        <w:spacing w:after="0"/>
        <w:ind w:left="1305"/>
        <w:jc w:val="left"/>
      </w:pPr>
      <w:r>
        <w:rPr>
          <w:rFonts w:ascii="Times New Roman" w:hAnsi="Times New Roman"/>
          <w:b w:val="false"/>
          <w:i w:val="false"/>
          <w:color w:val="000000"/>
          <w:sz w:val="22"/>
        </w:rPr>
        <w:t>(B) Aviation and Missiles. [Army Contracting Command-Redstone Arsenal is the exclusive contracting center for Army Fixed Wing and non-tethered lighter than air platform aircraft and supporting services; and non-standard rotary wing aircraft].</w:t>
      </w:r>
    </w:p>
    <w:p>
      <w:pPr>
        <w:pBdr>
          <w:top w:space="5"/>
          <w:left w:space="5"/>
          <w:bottom w:space="5"/>
          <w:right w:space="5"/>
        </w:pBdr>
        <w:spacing w:after="0"/>
        <w:ind w:left="1305"/>
        <w:jc w:val="left"/>
      </w:pPr>
      <w:r>
        <w:rPr>
          <w:rFonts w:ascii="Times New Roman" w:hAnsi="Times New Roman"/>
          <w:b w:val="false"/>
          <w:i w:val="false"/>
          <w:color w:val="000000"/>
          <w:sz w:val="22"/>
        </w:rPr>
        <w:t>(C) Combat and Tactical Vehicles.</w:t>
      </w:r>
    </w:p>
    <w:p>
      <w:pPr>
        <w:pBdr>
          <w:top w:space="5"/>
          <w:left w:space="5"/>
          <w:bottom w:space="5"/>
          <w:right w:space="5"/>
        </w:pBdr>
        <w:spacing w:after="0"/>
        <w:ind w:left="1305"/>
        <w:jc w:val="left"/>
      </w:pPr>
      <w:r>
        <w:rPr>
          <w:rFonts w:ascii="Times New Roman" w:hAnsi="Times New Roman"/>
          <w:b w:val="false"/>
          <w:i w:val="false"/>
          <w:color w:val="000000"/>
          <w:sz w:val="22"/>
        </w:rPr>
        <w:t>(D) Construction related materials and services [Mission and Installation Contracting Command (MICC) is the secondary contracting center; the U.S. Army Corps of Engineers (USACE) is the primary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[MICC is the primary contracting center; USACE is the secondary contracting activity].</w:t>
      </w:r>
    </w:p>
    <w:p>
      <w:pPr>
        <w:pBdr>
          <w:top w:space="5"/>
          <w:left w:space="5"/>
          <w:bottom w:space="5"/>
          <w:right w:space="5"/>
        </w:pBdr>
        <w:spacing w:after="0"/>
        <w:ind w:left="1305"/>
        <w:jc w:val="left"/>
      </w:pPr>
      <w:r>
        <w:rPr>
          <w:rFonts w:ascii="Times New Roman" w:hAnsi="Times New Roman"/>
          <w:b w:val="false"/>
          <w:i w:val="false"/>
          <w:color w:val="000000"/>
          <w:sz w:val="22"/>
        </w:rPr>
        <w:t>(F) Information Technology, to include: software, hardware, consulting, security, outsourcing, and telecommunications.</w:t>
      </w:r>
    </w:p>
    <w:p>
      <w:pPr>
        <w:pBdr>
          <w:top w:space="5"/>
          <w:left w:space="5"/>
          <w:bottom w:space="5"/>
          <w:right w:space="5"/>
        </w:pBdr>
        <w:spacing w:after="0"/>
        <w:ind w:left="1305"/>
        <w:jc w:val="left"/>
      </w:pPr>
      <w:r>
        <w:rPr>
          <w:rFonts w:ascii="Times New Roman" w:hAnsi="Times New Roman"/>
          <w:b w:val="false"/>
          <w:i w:val="false"/>
          <w:color w:val="000000"/>
          <w:sz w:val="22"/>
        </w:rPr>
        <w:t>(G) Transportation and Logistics Services, to include: logistics support services, transportation of things, motor vehicles (non-combat), and transportation equipment. [Note: Does not apply to U.S. Transportation Command-unique requirements related to the procurement of transportation services].</w:t>
      </w:r>
    </w:p>
    <w:p>
      <w:pPr>
        <w:pBdr>
          <w:top w:space="5"/>
          <w:left w:space="5"/>
          <w:bottom w:space="5"/>
          <w:right w:space="5"/>
        </w:pBdr>
        <w:spacing w:after="0"/>
        <w:ind w:left="585"/>
        <w:jc w:val="left"/>
      </w:pPr>
      <w:r>
        <w:rPr>
          <w:rFonts w:ascii="Times New Roman" w:hAnsi="Times New Roman"/>
          <w:b w:val="false"/>
          <w:i w:val="false"/>
          <w:color w:val="000000"/>
          <w:sz w:val="22"/>
        </w:rPr>
        <w:t>(3) The HCA for USACE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Architect-Engineer services. (See also 5136.601-90 Authority for architect-engineer contracting).</w:t>
      </w:r>
    </w:p>
    <w:p>
      <w:pPr>
        <w:pBdr>
          <w:top w:space="5"/>
          <w:left w:space="5"/>
          <w:bottom w:space="5"/>
          <w:right w:space="5"/>
        </w:pBdr>
        <w:spacing w:after="0"/>
        <w:ind w:left="1305"/>
        <w:jc w:val="left"/>
      </w:pPr>
      <w:r>
        <w:rPr>
          <w:rFonts w:ascii="Times New Roman" w:hAnsi="Times New Roman"/>
          <w:b w:val="false"/>
          <w:i w:val="false"/>
          <w:color w:val="000000"/>
          <w:sz w:val="22"/>
        </w:rPr>
        <w:t>(B) Civil works.</w:t>
      </w:r>
    </w:p>
    <w:p>
      <w:pPr>
        <w:pBdr>
          <w:top w:space="5"/>
          <w:left w:space="5"/>
          <w:bottom w:space="5"/>
          <w:right w:space="5"/>
        </w:pBdr>
        <w:spacing w:after="0"/>
        <w:ind w:left="1305"/>
        <w:jc w:val="left"/>
      </w:pPr>
      <w:r>
        <w:rPr>
          <w:rFonts w:ascii="Times New Roman" w:hAnsi="Times New Roman"/>
          <w:b w:val="false"/>
          <w:i w:val="false"/>
          <w:color w:val="000000"/>
          <w:sz w:val="22"/>
        </w:rPr>
        <w:t>(C) Construction related materials and services [USACE is the primary contracting activity; MICC is the secondary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(D) Environmental services.</w:t>
      </w:r>
    </w:p>
    <w:p>
      <w:pPr>
        <w:pBdr>
          <w:top w:space="5"/>
          <w:left w:space="5"/>
          <w:bottom w:space="5"/>
          <w:right w:space="5"/>
        </w:pBdr>
        <w:spacing w:after="0"/>
        <w:ind w:left="1305"/>
        <w:jc w:val="left"/>
      </w:pPr>
      <w:r>
        <w:rPr>
          <w:rFonts w:ascii="Times New Roman" w:hAnsi="Times New Roman"/>
          <w:b w:val="false"/>
          <w:i w:val="false"/>
          <w:color w:val="000000"/>
          <w:sz w:val="22"/>
        </w:rPr>
        <w:t>(E) Facility related materials and services [USACE is the secondary contracting activity; MICC is the primary contracting center].</w:t>
      </w:r>
    </w:p>
    <w:p>
      <w:pPr>
        <w:pBdr>
          <w:top w:space="5"/>
          <w:left w:space="5"/>
          <w:bottom w:space="5"/>
          <w:right w:space="5"/>
        </w:pBdr>
        <w:spacing w:after="0"/>
        <w:ind w:left="1305"/>
        <w:jc w:val="left"/>
      </w:pPr>
      <w:r>
        <w:rPr>
          <w:rFonts w:ascii="Times New Roman" w:hAnsi="Times New Roman"/>
          <w:b w:val="false"/>
          <w:i w:val="false"/>
          <w:color w:val="000000"/>
          <w:sz w:val="22"/>
        </w:rPr>
        <w:t>(F) Facilities purchase and lease.</w:t>
      </w:r>
    </w:p>
    <w:p>
      <w:pPr>
        <w:pBdr>
          <w:top w:space="5"/>
          <w:left w:space="5"/>
          <w:bottom w:space="5"/>
          <w:right w:space="5"/>
        </w:pBdr>
        <w:spacing w:after="0"/>
        <w:ind w:left="585"/>
        <w:jc w:val="left"/>
      </w:pPr>
      <w:r>
        <w:rPr>
          <w:rFonts w:ascii="Times New Roman" w:hAnsi="Times New Roman"/>
          <w:b w:val="false"/>
          <w:i w:val="false"/>
          <w:color w:val="000000"/>
          <w:sz w:val="22"/>
        </w:rPr>
        <w:t>(4) The HCA for the U.S Army Medical Command is responsible for awarding and administering the following contract actions:</w:t>
      </w:r>
    </w:p>
    <w:p>
      <w:pPr>
        <w:pBdr>
          <w:top w:space="5"/>
          <w:left w:space="5"/>
          <w:bottom w:space="5"/>
          <w:right w:space="5"/>
        </w:pBdr>
        <w:spacing w:after="0"/>
        <w:ind w:left="1305"/>
        <w:jc w:val="left"/>
      </w:pPr>
      <w:r>
        <w:rPr>
          <w:rFonts w:ascii="Times New Roman" w:hAnsi="Times New Roman"/>
          <w:b w:val="false"/>
          <w:i w:val="false"/>
          <w:color w:val="000000"/>
          <w:sz w:val="22"/>
        </w:rPr>
        <w:t>(A) Medical equipment accessories and supplies.</w:t>
      </w:r>
    </w:p>
    <w:p>
      <w:pPr>
        <w:pBdr>
          <w:top w:space="5"/>
          <w:left w:space="5"/>
          <w:bottom w:space="5"/>
          <w:right w:space="5"/>
        </w:pBdr>
        <w:spacing w:after="0"/>
        <w:ind w:left="1305"/>
        <w:jc w:val="left"/>
      </w:pPr>
      <w:r>
        <w:rPr>
          <w:rFonts w:ascii="Times New Roman" w:hAnsi="Times New Roman"/>
          <w:b w:val="false"/>
          <w:i w:val="false"/>
          <w:color w:val="000000"/>
          <w:sz w:val="22"/>
        </w:rPr>
        <w:t>(B) Healthcare services.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