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**ID__AFARS_5115.001__ID**</w:t>
      </w:r>
    </w:p>
    <w:p>
      <w:pPr>
        <w:pStyle w:val="Heading2"/>
        <w:spacing w:after="180"/>
        <w:ind w:left="120"/>
        <w:jc w:val="left"/>
      </w:pPr>
      <w:r>
        <w:rPr>
          <w:rFonts w:ascii="Times New Roman" w:hAnsi="Times New Roman"/>
          <w:color w:val="000000"/>
          <w:sz w:val="36"/>
        </w:rPr>
        <w:t>5115.001</w:t>
      </w:r>
      <w:r>
        <w:rPr>
          <w:rFonts w:ascii="Times New Roman" w:hAnsi="Times New Roman"/>
          <w:color w:val="000000"/>
          <w:sz w:val="36"/>
        </w:rPr>
        <w:t xml:space="preserve"> Definitions.</w:t>
      </w:r>
    </w:p>
    <w:p>
      <w:pPr>
        <w:pBdr>
          <w:top w:space="5"/>
          <w:left w:space="5"/>
          <w:bottom w:space="5"/>
          <w:right w:space="5"/>
        </w:pBdr>
        <w:spacing w:after="0"/>
        <w:ind w:left="225"/>
        <w:jc w:val="left"/>
      </w:pPr>
      <w:r>
        <w:rPr>
          <w:rFonts w:ascii="Times New Roman" w:hAnsi="Times New Roman"/>
          <w:b w:val="false"/>
          <w:i w:val="false"/>
          <w:color w:val="000000"/>
          <w:sz w:val="22"/>
        </w:rPr>
        <w:t>“Formal source selection,” as used in this part, means the source selection process in which someone other than the contracting officer is the source selection authority, normally for high dollar value or complex acquisitions.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