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**ID__AFARS_5115.305__ID**</w:t>
      </w:r>
    </w:p>
    <w:p>
      <w:pPr>
        <w:pStyle w:val="Heading3"/>
        <w:spacing w:after="199"/>
        <w:ind w:left="120"/>
        <w:jc w:val="left"/>
      </w:pPr>
      <w:r>
        <w:rPr>
          <w:rFonts w:ascii="Times New Roman" w:hAnsi="Times New Roman"/>
          <w:color w:val="000000"/>
          <w:sz w:val="36"/>
        </w:rPr>
        <w:t>5115.305</w:t>
      </w:r>
      <w:r>
        <w:rPr>
          <w:rFonts w:ascii="Times New Roman" w:hAnsi="Times New Roman"/>
          <w:color w:val="000000"/>
          <w:sz w:val="36"/>
        </w:rPr>
        <w:t xml:space="preserve"> Proposal evaluation.</w:t>
      </w:r>
    </w:p>
    <w:p>
      <w:pPr>
        <w:pStyle w:val="Normal"/>
        <w:pBdr>
          <w:top w:space="5"/>
          <w:left w:space="5"/>
          <w:bottom w:space="5"/>
          <w:right w:space="5"/>
        </w:pBdr>
        <w:spacing w:after="0"/>
        <w:ind w:left="225"/>
        <w:jc w:val="left"/>
      </w:pPr>
      <w:r>
        <w:rPr>
          <w:rFonts w:ascii="Times New Roman" w:hAnsi="Times New Roman"/>
          <w:color w:val="000000"/>
        </w:rPr>
        <w:t>(a) If the request for proposal identifies a threshold and objective performance for any of the requirements, the contracting officer must inform the offerors how the source selection team will evaluate the objective performance requirements and credit the performance above the threshold requirement.</w:t>
      </w:r>
    </w:p>
    <w:p>
      <w:pPr>
        <w:pStyle w:val="Normal"/>
        <w:pBdr>
          <w:top w:space="5"/>
          <w:left w:space="5"/>
          <w:bottom w:space="5"/>
          <w:right w:space="5"/>
        </w:pBdr>
        <w:spacing w:after="0"/>
        <w:ind w:left="225"/>
        <w:jc w:val="left"/>
      </w:pPr>
      <w:r>
        <w:rPr>
          <w:rFonts w:ascii="Times New Roman" w:hAnsi="Times New Roman"/>
          <w:color w:val="000000"/>
        </w:rPr>
        <w:t xml:space="preserve">(1) </w:t>
      </w:r>
      <w:r>
        <w:rPr>
          <w:rFonts w:ascii="Times New Roman" w:hAnsi="Times New Roman"/>
          <w:i/>
          <w:color w:val="000000"/>
        </w:rPr>
        <w:t>Cost or price evaluation.</w:t>
      </w:r>
      <w:r>
        <w:rPr>
          <w:rFonts w:ascii="Times New Roman" w:hAnsi="Times New Roman"/>
          <w:color w:val="000000"/>
        </w:rPr>
        <w:t xml:space="preserve"> Do not score price or cost or combine it with other non-price or cost related aspects of the proposal evaluation.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Past performance evaluation.</w:t>
      </w:r>
      <w:r>
        <w:rPr>
          <w:rFonts w:ascii="Times New Roman" w:hAnsi="Times New Roman"/>
          <w:b w:val="false"/>
          <w:i w:val="false"/>
          <w:color w:val="000000"/>
          <w:sz w:val="22"/>
        </w:rPr>
        <w:t xml:space="preserve"> The Contractor Performance Assessment Rating System is available via the Internet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Technical evaluation</w:t>
      </w:r>
      <w:r>
        <w:rPr>
          <w:rFonts w:ascii="Times New Roman" w:hAnsi="Times New Roman"/>
          <w:b w:val="false"/>
          <w:i w:val="false"/>
          <w:color w:val="000000"/>
          <w:sz w:val="22"/>
        </w:rPr>
        <w:t>. When divergent evaluations exist, and none of the evaluators have misinterpreted or misunderstood any aspects of the proposals, consider providing the SSA with written majority and minority opinions.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pars.gov"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