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**ID__AFARS_5115.4031__ID**</w:t>
      </w:r>
    </w:p>
    <w:p>
      <w:pPr>
        <w:pStyle w:val="Heading3"/>
        <w:spacing w:after="199"/>
        <w:ind w:left="120"/>
        <w:jc w:val="left"/>
      </w:pPr>
      <w:r>
        <w:rPr>
          <w:rFonts w:ascii="Times New Roman" w:hAnsi="Times New Roman"/>
          <w:color w:val="000000"/>
          <w:sz w:val="36"/>
        </w:rPr>
        <w:t>5115.403-1</w:t>
      </w:r>
      <w:r>
        <w:rPr>
          <w:rFonts w:ascii="Times New Roman" w:hAnsi="Times New Roman"/>
          <w:color w:val="000000"/>
          <w:sz w:val="36"/>
        </w:rPr>
        <w:t xml:space="preserve"> Prohibition on obtaining certified cost or pricing data (10 U.S.C. 2306a and 41 U.S.C. 35).</w:t>
      </w:r>
    </w:p>
    <w:p>
      <w:pPr>
        <w:pStyle w:val="Normal"/>
        <w:pBdr>
          <w:top w:space="5"/>
          <w:left w:space="5"/>
          <w:bottom w:space="5"/>
          <w:right w:space="5"/>
        </w:pBdr>
        <w:spacing w:after="0"/>
        <w:ind w:left="225"/>
        <w:jc w:val="left"/>
      </w:pPr>
      <w:r>
        <w:rPr>
          <w:rFonts w:ascii="Times New Roman" w:hAnsi="Times New Roman"/>
          <w:color w:val="000000"/>
        </w:rPr>
        <w:t>(c)(4) Waivers. Follow the procedures at DFARS PGI 215.403-1(c)(4), Waivers, to determine when an exceptional case waiver of the requirement to submit certified cost or pricing data is appropriate.</w:t>
      </w:r>
    </w:p>
    <w:p>
      <w:pPr>
        <w:pStyle w:val="Normal"/>
        <w:pBdr>
          <w:top w:space="5"/>
          <w:left w:space="5"/>
          <w:bottom w:space="5"/>
          <w:right w:space="5"/>
        </w:pBdr>
        <w:spacing w:after="0"/>
        <w:ind w:left="225"/>
        <w:jc w:val="left"/>
      </w:pPr>
      <w:r>
        <w:rPr>
          <w:rFonts w:ascii="Times New Roman" w:hAnsi="Times New Roman"/>
          <w:color w:val="000000"/>
        </w:rPr>
        <w:t>(A)(2) Coordinate proposed exceptional case waivers that exceed $100 million in writing with the Deputy Assistant Secretary of the Army (Procurement) (DASA(P)) prior to submission to the head of contracting activity (HCA) for approval. Submit the proposed waiver to the addressee listed at 5101.290(b)(2)(ii)(C).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