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**ID__AFARS_5115.4063__ID**</w:t>
      </w:r>
    </w:p>
    <w:p>
      <w:pPr>
        <w:pStyle w:val="Heading3"/>
        <w:spacing w:after="199"/>
        <w:ind w:left="120"/>
        <w:jc w:val="left"/>
      </w:pPr>
      <w:r>
        <w:rPr>
          <w:rFonts w:ascii="Times New Roman" w:hAnsi="Times New Roman"/>
          <w:color w:val="000000"/>
          <w:sz w:val="36"/>
        </w:rPr>
        <w:t>5115.406-3</w:t>
      </w:r>
      <w:r>
        <w:rPr>
          <w:rFonts w:ascii="Times New Roman" w:hAnsi="Times New Roman"/>
          <w:color w:val="000000"/>
          <w:sz w:val="36"/>
        </w:rPr>
        <w:t xml:space="preserve"> Documenting the negotiation.</w:t>
      </w:r>
    </w:p>
    <w:p>
      <w:pPr>
        <w:pStyle w:val="Normal"/>
        <w:pBdr>
          <w:top w:space="5"/>
          <w:left w:space="5"/>
          <w:bottom w:space="5"/>
          <w:right w:space="5"/>
        </w:pBdr>
        <w:spacing w:after="0"/>
        <w:ind w:left="225"/>
        <w:jc w:val="left"/>
      </w:pPr>
      <w:r>
        <w:rPr>
          <w:rFonts w:ascii="Times New Roman" w:hAnsi="Times New Roman"/>
          <w:color w:val="000000"/>
        </w:rPr>
        <w:t>(a) Contracting officers must document within the price negotiation memorandum the results of the negotiation in sufficient detail to clearly establish all significant aspects of the contract action. When utilizing a consolidated POM/PNM, the contracting officer must ensure the POM/PNM contains all required content for both documents, in accordance with FAR 15.406 and DFARS PGI 205.406, and is stated in sufficient detail to reconstruct actions and decisions and to support the reasonableness of the final price.</w:t>
      </w:r>
    </w:p>
    <w:p>
      <w:pPr>
        <w:pStyle w:val="Normal"/>
        <w:pBdr>
          <w:top w:space="5"/>
          <w:left w:space="5"/>
          <w:bottom w:space="5"/>
          <w:right w:space="5"/>
        </w:pBdr>
        <w:spacing w:after="0"/>
        <w:ind w:left="225"/>
        <w:jc w:val="left"/>
      </w:pPr>
      <w:r>
        <w:rPr>
          <w:rFonts w:ascii="Times New Roman" w:hAnsi="Times New Roman"/>
          <w:color w:val="000000"/>
        </w:rPr>
        <w:t>(b) 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w:t>
      </w:r>
    </w:p>
    <w:p>
      <w:pPr>
        <w:pStyle w:val="Normal"/>
        <w:pBdr>
          <w:top w:space="5"/>
          <w:left w:space="5"/>
          <w:bottom w:space="5"/>
          <w:right w:space="5"/>
        </w:pBdr>
        <w:spacing w:after="0"/>
        <w:ind w:left="225"/>
        <w:jc w:val="left"/>
      </w:pPr>
      <w:r>
        <w:rPr>
          <w:rFonts w:ascii="Times New Roman" w:hAnsi="Times New Roman"/>
          <w:color w:val="000000"/>
        </w:rPr>
        <w:t xml:space="preserve">For guidance on make-or-buy analysis for Army programs of record see </w:t>
      </w:r>
      <w:hyperlink r:id="rId4">
        <w:r>
          <w:rPr>
            <w:rStyle w:val="Hyperlink"/>
            <w:rFonts w:ascii="Times New Roman" w:hAnsi="Times New Roman"/>
            <w:color w:val="0000ff"/>
            <w:u w:val="single"/>
          </w:rPr>
          <w:t/>
        </w:r>
        <w:r>
          <w:rPr>
            <w:rFonts w:ascii="Times New Roman" w:hAnsi="Times New Roman"/>
            <w:color w:val="0000ff"/>
            <w:u w:val="single"/>
          </w:rPr>
          <w:t>AFARS PGI 5115.407-2.</w:t>
        </w:r>
      </w:hyperlink>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pcs3.kc.army.mil/asaalt/procurement/PGI/PGI_5115.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