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**ID__AFARS_5116.10290__ID**</w:t>
      </w:r>
    </w:p>
    <w:p>
      <w:pPr>
        <w:pStyle w:val="Heading3"/>
        <w:spacing w:after="199"/>
        <w:ind w:left="120"/>
        <w:jc w:val="left"/>
      </w:pPr>
      <w:r>
        <w:rPr>
          <w:rFonts w:ascii="Times New Roman" w:hAnsi="Times New Roman"/>
          <w:color w:val="000000"/>
          <w:sz w:val="31"/>
        </w:rPr>
        <w:t>5116.102-90</w:t>
      </w:r>
      <w:r>
        <w:rPr>
          <w:rFonts w:ascii="Times New Roman" w:hAnsi="Times New Roman"/>
          <w:color w:val="000000"/>
          <w:sz w:val="31"/>
        </w:rPr>
        <w:t xml:space="preserve"> Policies.</w:t>
      </w:r>
    </w:p>
    <w:p>
      <w:pPr>
        <w:pStyle w:val="Normal"/>
        <w:pBdr>
          <w:top w:space="5"/>
          <w:left w:space="5"/>
          <w:bottom w:space="5"/>
          <w:right w:space="5"/>
        </w:pBdr>
        <w:spacing w:after="0"/>
        <w:ind w:left="225"/>
        <w:jc w:val="left"/>
      </w:pPr>
      <w:r>
        <w:rPr>
          <w:rFonts w:ascii="Times New Roman" w:hAnsi="Times New Roman"/>
          <w:color w:val="000000"/>
        </w:rPr>
        <w:t>Contracting officers must document the rationale for selection of the contract type, to include consideration of the associated risks, in the contract file. The supporting documentation may be located in the contract type justification, a separate determination and findings, memorandum for record, or other appropriate document.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