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**ID__AFARS_5116.504__ID**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5116.504</w:t>
      </w:r>
      <w:r>
        <w:rPr>
          <w:rFonts w:ascii="Times New Roman" w:hAnsi="Times New Roman"/>
          <w:color w:val="000000"/>
          <w:sz w:val="31"/>
        </w:rPr>
        <w:t xml:space="preserve"> – Indefinite Quantity Contracts.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(a)(1) The contracting officer shall ensure an order that fulfills the minimum quantity of supplies or services is issued at the time of contract award.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(c)(1)(ii)(D)(</w:t>
      </w:r>
      <w:r>
        <w:rPr>
          <w:rFonts w:ascii="Times New Roman" w:hAnsi="Times New Roman"/>
          <w:b w:val="false"/>
          <w:i/>
          <w:color w:val="000000"/>
          <w:sz w:val="22"/>
        </w:rPr>
        <w:t>1</w:t>
      </w:r>
      <w:r>
        <w:rPr>
          <w:rFonts w:ascii="Times New Roman" w:hAnsi="Times New Roman"/>
          <w:b w:val="false"/>
          <w:i w:val="false"/>
          <w:color w:val="000000"/>
          <w:sz w:val="22"/>
        </w:rPr>
        <w:t>) The senior procurement executive shall approve actions as stated in DFARS 216.504(c)(1)(ii)(D)(</w:t>
      </w:r>
      <w:r>
        <w:rPr>
          <w:rFonts w:ascii="Times New Roman" w:hAnsi="Times New Roman"/>
          <w:b w:val="false"/>
          <w:i/>
          <w:color w:val="000000"/>
          <w:sz w:val="22"/>
        </w:rPr>
        <w:t>1</w:t>
      </w:r>
      <w:r>
        <w:rPr>
          <w:rFonts w:ascii="Times New Roman" w:hAnsi="Times New Roman"/>
          <w:b w:val="false"/>
          <w:i w:val="false"/>
          <w:color w:val="000000"/>
          <w:sz w:val="22"/>
        </w:rPr>
        <w:t>). See Appendix GG for further delegation.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