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**ID__AFARS_5101.602390__ID**</w:t>
      </w:r>
    </w:p>
    <w:p>
      <w:pPr>
        <w:pStyle w:val="Heading4"/>
        <w:spacing w:after="269"/>
        <w:ind w:left="120"/>
        <w:jc w:val="left"/>
      </w:pPr>
      <w:r>
        <w:rPr>
          <w:rFonts w:ascii="Times New Roman" w:hAnsi="Times New Roman"/>
          <w:i w:val="false"/>
          <w:color w:val="000000"/>
          <w:sz w:val="24"/>
        </w:rPr>
        <w:t>5101.602-3-90</w:t>
      </w:r>
      <w:r>
        <w:rPr>
          <w:rFonts w:ascii="Times New Roman" w:hAnsi="Times New Roman"/>
          <w:i w:val="false"/>
          <w:color w:val="000000"/>
          <w:sz w:val="24"/>
        </w:rPr>
        <w:t xml:space="preserve"> Ratification procedures.</w:t>
      </w:r>
    </w:p>
    <w:p>
      <w:pPr>
        <w:pBdr>
          <w:top w:space="5"/>
          <w:left w:space="5"/>
          <w:bottom w:space="5"/>
          <w:right w:space="5"/>
        </w:pBdr>
        <w:spacing w:after="0"/>
        <w:ind w:left="225"/>
        <w:jc w:val="left"/>
      </w:pPr>
      <w:r>
        <w:rPr>
          <w:rFonts w:ascii="Times New Roman" w:hAnsi="Times New Roman"/>
          <w:b w:val="false"/>
          <w:i w:val="false"/>
          <w:color w:val="000000"/>
          <w:sz w:val="22"/>
        </w:rPr>
        <w:t>(a) HCAs may ratify an unauthorized commitment.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The individual making the unauthorized commitment must send the following documentation, at a minimum, to the cognizant ratifying authority:</w:t>
      </w:r>
    </w:p>
    <w:p>
      <w:pPr>
        <w:pBdr>
          <w:top w:space="5"/>
          <w:left w:space="5"/>
          <w:bottom w:space="5"/>
          <w:right w:space="5"/>
        </w:pBdr>
        <w:spacing w:after="0"/>
        <w:ind w:left="585"/>
        <w:jc w:val="left"/>
      </w:pPr>
      <w:r>
        <w:rPr>
          <w:rFonts w:ascii="Times New Roman" w:hAnsi="Times New Roman"/>
          <w:b w:val="false"/>
          <w:i w:val="false"/>
          <w:color w:val="000000"/>
          <w:sz w:val="22"/>
        </w:rPr>
        <w:t>(1) A signed statement describing the circumstances, the reason normal contracting procedures were not followed, what bona fide Government requirement necessitated the unauthorized commitment, the benefit received and its value, and any other pertinent facts.</w:t>
      </w:r>
    </w:p>
    <w:p>
      <w:pPr>
        <w:pBdr>
          <w:top w:space="5"/>
          <w:left w:space="5"/>
          <w:bottom w:space="5"/>
          <w:right w:space="5"/>
        </w:pBdr>
        <w:spacing w:after="0"/>
        <w:ind w:left="585"/>
        <w:jc w:val="left"/>
      </w:pPr>
      <w:r>
        <w:rPr>
          <w:rFonts w:ascii="Times New Roman" w:hAnsi="Times New Roman"/>
          <w:b w:val="false"/>
          <w:i w:val="false"/>
          <w:color w:val="000000"/>
          <w:sz w:val="22"/>
        </w:rPr>
        <w:t>(2) All other relevant documents, including orders, invoices or other evidence of the transaction.</w:t>
      </w:r>
    </w:p>
    <w:p>
      <w:pPr>
        <w:pBdr>
          <w:top w:space="5"/>
          <w:left w:space="5"/>
          <w:bottom w:space="5"/>
          <w:right w:space="5"/>
        </w:pBdr>
        <w:spacing w:after="0"/>
        <w:ind w:left="225"/>
        <w:jc w:val="left"/>
      </w:pPr>
      <w:r>
        <w:rPr>
          <w:rFonts w:ascii="Times New Roman" w:hAnsi="Times New Roman"/>
          <w:b w:val="false"/>
          <w:i w:val="false"/>
          <w:color w:val="000000"/>
          <w:sz w:val="22"/>
        </w:rPr>
        <w:t>(c) If the commander concurs that the unauthorized commitment should be ratified, the documentation must be sent to the chief of the contracting office with an endorsement that –</w:t>
      </w:r>
    </w:p>
    <w:p>
      <w:pPr>
        <w:pBdr>
          <w:top w:space="5"/>
          <w:left w:space="5"/>
          <w:bottom w:space="5"/>
          <w:right w:space="5"/>
        </w:pBdr>
        <w:spacing w:after="0"/>
        <w:ind w:left="585"/>
        <w:jc w:val="left"/>
      </w:pPr>
      <w:r>
        <w:rPr>
          <w:rFonts w:ascii="Times New Roman" w:hAnsi="Times New Roman"/>
          <w:b w:val="false"/>
          <w:i w:val="false"/>
          <w:color w:val="000000"/>
          <w:sz w:val="22"/>
        </w:rPr>
        <w:t>(1) Verifies the accuracy and completeness of the documentation;</w:t>
      </w:r>
    </w:p>
    <w:p>
      <w:pPr>
        <w:pBdr>
          <w:top w:space="5"/>
          <w:left w:space="5"/>
          <w:bottom w:space="5"/>
          <w:right w:space="5"/>
        </w:pBdr>
        <w:spacing w:after="0"/>
        <w:ind w:left="585"/>
        <w:jc w:val="left"/>
      </w:pPr>
      <w:r>
        <w:rPr>
          <w:rFonts w:ascii="Times New Roman" w:hAnsi="Times New Roman"/>
          <w:b w:val="false"/>
          <w:i w:val="false"/>
          <w:color w:val="000000"/>
          <w:sz w:val="22"/>
        </w:rPr>
        <w:t>(2) Describes the measures taken to prevent a recurrence of unauthorized commitments, including a description of any disciplinary action to be taken; and</w:t>
      </w:r>
    </w:p>
    <w:p>
      <w:pPr>
        <w:pBdr>
          <w:top w:space="5"/>
          <w:left w:space="5"/>
          <w:bottom w:space="5"/>
          <w:right w:space="5"/>
        </w:pBdr>
        <w:spacing w:after="0"/>
        <w:ind w:left="585"/>
        <w:jc w:val="left"/>
      </w:pPr>
      <w:r>
        <w:rPr>
          <w:rFonts w:ascii="Times New Roman" w:hAnsi="Times New Roman"/>
          <w:b w:val="false"/>
          <w:i w:val="false"/>
          <w:color w:val="000000"/>
          <w:sz w:val="22"/>
        </w:rPr>
        <w:t>(3) Provides a complete purchase description and funding for the ratifying contract.</w:t>
      </w:r>
    </w:p>
    <w:p>
      <w:pPr>
        <w:pBdr>
          <w:top w:space="5"/>
          <w:left w:space="5"/>
          <w:bottom w:space="5"/>
          <w:right w:space="5"/>
        </w:pBdr>
        <w:spacing w:after="0"/>
        <w:ind w:left="225"/>
        <w:jc w:val="left"/>
      </w:pPr>
      <w:r>
        <w:rPr>
          <w:rFonts w:ascii="Times New Roman" w:hAnsi="Times New Roman"/>
          <w:b w:val="false"/>
          <w:i w:val="false"/>
          <w:color w:val="000000"/>
          <w:sz w:val="22"/>
        </w:rPr>
        <w:t>(d) The chief of the contracting office will assign the action to an individual contracting officer who will be responsible for –</w:t>
      </w:r>
    </w:p>
    <w:p>
      <w:pPr>
        <w:pBdr>
          <w:top w:space="5"/>
          <w:left w:space="5"/>
          <w:bottom w:space="5"/>
          <w:right w:space="5"/>
        </w:pBdr>
        <w:spacing w:after="0"/>
        <w:ind w:left="585"/>
        <w:jc w:val="left"/>
      </w:pPr>
      <w:r>
        <w:rPr>
          <w:rFonts w:ascii="Times New Roman" w:hAnsi="Times New Roman"/>
          <w:b w:val="false"/>
          <w:i w:val="false"/>
          <w:color w:val="000000"/>
          <w:sz w:val="22"/>
        </w:rPr>
        <w:t>(1) Reviewing the case and determining the adequacy of all facts, records, and documents and obtaining any additional material required; and</w:t>
      </w:r>
    </w:p>
    <w:p>
      <w:pPr>
        <w:pBdr>
          <w:top w:space="5"/>
          <w:left w:space="5"/>
          <w:bottom w:space="5"/>
          <w:right w:space="5"/>
        </w:pBdr>
        <w:spacing w:after="0"/>
        <w:ind w:left="585"/>
        <w:jc w:val="left"/>
      </w:pPr>
      <w:r>
        <w:rPr>
          <w:rFonts w:ascii="Times New Roman" w:hAnsi="Times New Roman"/>
          <w:b w:val="false"/>
          <w:i w:val="false"/>
          <w:color w:val="000000"/>
          <w:sz w:val="22"/>
        </w:rPr>
        <w:t>(2) Preparing a summary of facts to include a recommendation as to whether 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or by means of the claims or disputes process set forth in FAR subpart 33.2.</w:t>
      </w:r>
    </w:p>
    <w:p>
      <w:pPr>
        <w:pBdr>
          <w:top w:space="5"/>
          <w:left w:space="5"/>
          <w:bottom w:space="5"/>
          <w:right w:space="5"/>
        </w:pBdr>
        <w:spacing w:after="0"/>
        <w:ind w:left="225"/>
        <w:jc w:val="left"/>
      </w:pPr>
      <w:r>
        <w:rPr>
          <w:rFonts w:ascii="Times New Roman" w:hAnsi="Times New Roman"/>
          <w:b w:val="false"/>
          <w:i w:val="false"/>
          <w:color w:val="000000"/>
          <w:sz w:val="22"/>
        </w:rPr>
        <w:t>(e) Upon receipt and review of the complete file, the individual responsible for approving the ratification may approve the ratification if he or she considers it to be in the best interest of the Government, or may direct other disposition.</w:t>
      </w:r>
    </w:p>
    <w:p>
      <w:pPr>
        <w:pBdr>
          <w:top w:space="5"/>
          <w:left w:space="5"/>
          <w:bottom w:space="5"/>
          <w:right w:space="5"/>
        </w:pBdr>
        <w:spacing w:after="0"/>
        <w:ind w:left="225"/>
        <w:jc w:val="left"/>
      </w:pPr>
      <w:r>
        <w:rPr>
          <w:rFonts w:ascii="Times New Roman" w:hAnsi="Times New Roman"/>
          <w:b w:val="false"/>
          <w:i w:val="false"/>
          <w:color w:val="000000"/>
          <w:sz w:val="22"/>
        </w:rPr>
        <w:t>(f) HCAs must monitor compliance with this subsection, 5101.602-3-90, and take all necessary corrective action.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