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**ID__AFARS_5117.9002__ID**</w:t>
      </w:r>
    </w:p>
    <w:p>
      <w:pPr>
        <w:pStyle w:val="Heading3"/>
        <w:spacing w:after="199"/>
        <w:ind w:left="120"/>
        <w:jc w:val="left"/>
      </w:pPr>
      <w:r>
        <w:rPr>
          <w:rFonts w:ascii="Times New Roman" w:hAnsi="Times New Roman"/>
          <w:color w:val="000000"/>
          <w:sz w:val="31"/>
        </w:rPr>
        <w:t>5117.9002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(a) JOC may be used to execute sustainment, restoration, and modernization projects at an installation.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