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**ID__AFARS_5117.90042__ID**</w:t>
      </w:r>
    </w:p>
    <w:p>
      <w:pPr>
        <w:pStyle w:val="Heading3"/>
        <w:spacing w:after="199"/>
        <w:ind w:left="120"/>
        <w:jc w:val="left"/>
      </w:pPr>
      <w:r>
        <w:rPr>
          <w:rFonts w:ascii="Times New Roman" w:hAnsi="Times New Roman"/>
          <w:color w:val="000000"/>
          <w:sz w:val="31"/>
        </w:rPr>
        <w:t>5117.9004-2</w:t>
      </w:r>
      <w:r>
        <w:rPr>
          <w:rFonts w:ascii="Times New Roman" w:hAnsi="Times New Roman"/>
          <w:color w:val="000000"/>
          <w:sz w:val="31"/>
        </w:rPr>
        <w:t xml:space="preserve"> Solicitation.</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 coordination with the installation DPW, must assure that the specifications and Unit Price Book have undergone technical review and validation and are tailored to meet the projected requirements of the installation and local economic conditions. This is a critical step in implementing JOC and is required to minimize the need for non-pre-priced items during the processing of task orders. The projects proposed to be ordered under JOC must be identified in internal documentation, and a representative description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(b)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pPr>
        <w:pBdr>
          <w:top w:space="5"/>
          <w:left w:space="5"/>
          <w:bottom w:space="5"/>
          <w:right w:space="5"/>
        </w:pBdr>
        <w:spacing w:after="0"/>
        <w:ind w:left="225"/>
        <w:jc w:val="left"/>
      </w:pPr>
      <w:r>
        <w:rPr>
          <w:rFonts w:ascii="Times New Roman" w:hAnsi="Times New Roman"/>
          <w:b w:val="false"/>
          <w:i w:val="false"/>
          <w:color w:val="000000"/>
          <w:sz w:val="22"/>
        </w:rPr>
        <w:t>(c)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pPr>
        <w:pBdr>
          <w:top w:space="5"/>
          <w:left w:space="5"/>
          <w:bottom w:space="5"/>
          <w:right w:space="5"/>
        </w:pBdr>
        <w:spacing w:after="0"/>
        <w:ind w:left="225"/>
        <w:jc w:val="left"/>
      </w:pPr>
      <w:r>
        <w:rPr>
          <w:rFonts w:ascii="Times New Roman" w:hAnsi="Times New Roman"/>
          <w:b w:val="false"/>
          <w:i w:val="false"/>
          <w:color w:val="000000"/>
          <w:sz w:val="22"/>
        </w:rPr>
        <w:t>(d)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(e) The Government’s unilateral right to withdraw a proposed job or order before or after receipt of contractor’s proposal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(f)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pPr>
        <w:pBdr>
          <w:top w:space="5"/>
          <w:left w:space="5"/>
          <w:bottom w:space="5"/>
          <w:right w:space="5"/>
        </w:pBdr>
        <w:spacing w:after="0"/>
        <w:ind w:left="225"/>
        <w:jc w:val="left"/>
      </w:pPr>
      <w:r>
        <w:rPr>
          <w:rFonts w:ascii="Times New Roman" w:hAnsi="Times New Roman"/>
          <w:b w:val="false"/>
          <w:i w:val="false"/>
          <w:color w:val="000000"/>
          <w:sz w:val="22"/>
        </w:rPr>
        <w:t>(g)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pPr>
        <w:pBdr>
          <w:top w:space="5"/>
          <w:left w:space="5"/>
          <w:bottom w:space="5"/>
          <w:right w:space="5"/>
        </w:pBdr>
        <w:spacing w:after="0"/>
        <w:ind w:left="225"/>
        <w:jc w:val="left"/>
      </w:pPr>
      <w:r>
        <w:rPr>
          <w:rFonts w:ascii="Times New Roman" w:hAnsi="Times New Roman"/>
          <w:b w:val="false"/>
          <w:i w:val="false"/>
          <w:color w:val="000000"/>
          <w:sz w:val="22"/>
        </w:rPr>
        <w:t>(h)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(ENR)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pPr>
        <w:pBdr>
          <w:top w:space="5"/>
          <w:left w:space="5"/>
          <w:bottom w:space="5"/>
          <w:right w:space="5"/>
        </w:pBdr>
        <w:spacing w:after="0"/>
        <w:ind w:left="945"/>
        <w:jc w:val="left"/>
      </w:pPr>
      <w:r>
        <w:rPr>
          <w:rFonts w:ascii="Times New Roman" w:hAnsi="Times New Roman"/>
          <w:b w:val="false"/>
          <w:i w:val="false"/>
          <w:color w:val="000000"/>
          <w:sz w:val="22"/>
        </w:rPr>
        <w:t>(i) Job order solicitations must be accorded the same type of planning and management review as commercial activities procurement actions.</w:t>
      </w:r>
    </w:p>
    <w:p>
      <w:pPr>
        <w:pBdr>
          <w:top w:space="5"/>
          <w:left w:space="5"/>
          <w:bottom w:space="5"/>
          <w:right w:space="5"/>
        </w:pBdr>
        <w:spacing w:after="0"/>
        <w:ind w:left="225"/>
        <w:jc w:val="left"/>
      </w:pPr>
      <w:r>
        <w:rPr>
          <w:rFonts w:ascii="Times New Roman" w:hAnsi="Times New Roman"/>
          <w:b w:val="false"/>
          <w:i/>
          <w:color w:val="000000"/>
          <w:sz w:val="22"/>
        </w:rPr>
        <w:t>[AFARS Revision #21, dated May 22,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