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**ID__AFARS_5101.692__ID**</w:t>
      </w:r>
    </w:p>
    <w:p>
      <w:pPr>
        <w:pStyle w:val="Heading3"/>
        <w:spacing w:after="199"/>
        <w:ind w:left="120"/>
        <w:jc w:val="left"/>
      </w:pPr>
      <w:r>
        <w:rPr>
          <w:rFonts w:ascii="Times New Roman" w:hAnsi="Times New Roman"/>
          <w:color w:val="000000"/>
          <w:sz w:val="31"/>
        </w:rPr>
        <w:t>5101.692</w:t>
      </w:r>
      <w:r>
        <w:rPr>
          <w:rFonts w:ascii="Times New Roman" w:hAnsi="Times New Roman"/>
          <w:color w:val="000000"/>
          <w:sz w:val="31"/>
        </w:rPr>
        <w:t xml:space="preserve"> Head of the contracting activity.</w:t>
      </w:r>
    </w:p>
    <w:p>
      <w:pPr>
        <w:pBdr>
          <w:top w:space="5"/>
          <w:left w:space="5"/>
          <w:bottom w:space="5"/>
          <w:right w:space="5"/>
        </w:pBdr>
        <w:spacing w:after="0"/>
        <w:ind w:left="225"/>
        <w:jc w:val="left"/>
      </w:pPr>
      <w:r>
        <w:rPr>
          <w:rFonts w:ascii="Times New Roman" w:hAnsi="Times New Roman"/>
          <w:b w:val="false"/>
          <w:i w:val="false"/>
          <w:color w:val="000000"/>
          <w:sz w:val="22"/>
        </w:rPr>
        <w:t>(a) HCAs will ensure that only contracting officers selected and appointed in accordance with 5101.603 enter into contracts on behalf of the Army.</w:t>
      </w:r>
    </w:p>
    <w:p>
      <w:pPr>
        <w:pBdr>
          <w:top w:space="5"/>
          <w:left w:space="5"/>
          <w:bottom w:space="5"/>
          <w:right w:space="5"/>
        </w:pBdr>
        <w:spacing w:after="0"/>
        <w:ind w:left="225"/>
        <w:jc w:val="left"/>
      </w:pPr>
      <w:r>
        <w:rPr>
          <w:rFonts w:ascii="Times New Roman" w:hAnsi="Times New Roman"/>
          <w:b w:val="false"/>
          <w:i w:val="false"/>
          <w:color w:val="000000"/>
          <w:sz w:val="22"/>
        </w:rPr>
        <w:t>(b) HCAs will appoint a SCO. When selecting the SCO, the HCA must comply with the requirements of Department of Defense Instruction (DoDI) 5000.66 governing the selection of senior contracting officials. Prior to appointing the SCO, the HCA shall coordinate the proposed SCO selection directly with the Enterprise HCA.</w:t>
      </w:r>
    </w:p>
    <w:p>
      <w:pPr>
        <w:pBdr>
          <w:top w:space="5"/>
          <w:left w:space="5"/>
          <w:bottom w:space="5"/>
          <w:right w:space="5"/>
        </w:pBdr>
        <w:spacing w:after="0"/>
        <w:ind w:left="585"/>
        <w:jc w:val="left"/>
      </w:pPr>
      <w:r>
        <w:rPr>
          <w:rFonts w:ascii="Times New Roman" w:hAnsi="Times New Roman"/>
          <w:b w:val="false"/>
          <w:i w:val="false"/>
          <w:color w:val="000000"/>
          <w:sz w:val="22"/>
        </w:rPr>
        <w:t>(1) The HCA must assign to the SCO, or give him/her direct access to, the personnel and other essential resources necessary to perform all the functions that the HCA delegates to him/her.</w:t>
      </w:r>
    </w:p>
    <w:p>
      <w:pPr>
        <w:pBdr>
          <w:top w:space="5"/>
          <w:left w:space="5"/>
          <w:bottom w:space="5"/>
          <w:right w:space="5"/>
        </w:pBdr>
        <w:spacing w:after="0"/>
        <w:ind w:left="585"/>
        <w:jc w:val="left"/>
      </w:pPr>
      <w:r>
        <w:rPr>
          <w:rFonts w:ascii="Times New Roman" w:hAnsi="Times New Roman"/>
          <w:b w:val="false"/>
          <w:i w:val="false"/>
          <w:color w:val="000000"/>
          <w:sz w:val="22"/>
        </w:rPr>
        <w:t>(2) The HCA may appoint Program or Project-specific SCOs on a temporary basis within the responsible Army contracting activity. The Program or Project-specific SCO focuses solely on the management of that program’s contract action(s). (See 5101.693-90)</w:t>
      </w:r>
    </w:p>
    <w:p>
      <w:pPr>
        <w:pBdr>
          <w:top w:space="5"/>
          <w:left w:space="5"/>
          <w:bottom w:space="5"/>
          <w:right w:space="5"/>
        </w:pBdr>
        <w:spacing w:after="0"/>
        <w:ind w:left="585"/>
        <w:jc w:val="left"/>
      </w:pPr>
      <w:r>
        <w:rPr>
          <w:rFonts w:ascii="Times New Roman" w:hAnsi="Times New Roman"/>
          <w:b w:val="false"/>
          <w:i w:val="false"/>
          <w:color w:val="000000"/>
          <w:sz w:val="22"/>
        </w:rPr>
        <w:t>(3) The HCA must notify in writing the addressee in 5101.290(b)(2)(i) when there is a newly appointed SCO.</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