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**ID__AFARS_Subpart_5122.8__ID**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48"/>
        </w:rPr>
        <w:t>Subpart 5122.8</w:t>
      </w:r>
      <w:r>
        <w:rPr>
          <w:rFonts w:ascii="Times New Roman" w:hAnsi="Times New Roman"/>
          <w:color w:val="000000"/>
          <w:sz w:val="48"/>
        </w:rPr>
        <w:t xml:space="preserve"> – Equal Employment Opportunity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